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215" w14:textId="77777777" w:rsidR="008D66AC" w:rsidRPr="0061756A" w:rsidRDefault="008A565E">
      <w:pPr>
        <w:rPr>
          <w:sz w:val="24"/>
          <w:szCs w:val="24"/>
        </w:rPr>
      </w:pPr>
      <w:bookmarkStart w:id="0" w:name="_GoBack"/>
      <w:bookmarkEnd w:id="0"/>
      <w:r w:rsidRPr="0061756A">
        <w:rPr>
          <w:b/>
          <w:sz w:val="24"/>
          <w:szCs w:val="24"/>
        </w:rPr>
        <w:t>Introduction to Data for Justice</w:t>
      </w:r>
    </w:p>
    <w:p w14:paraId="681369B8" w14:textId="2BDA2D5E" w:rsidR="00522280" w:rsidRPr="0061756A" w:rsidRDefault="00E73A72" w:rsidP="008D66AC">
      <w:pPr>
        <w:ind w:firstLine="720"/>
        <w:rPr>
          <w:sz w:val="24"/>
          <w:szCs w:val="24"/>
        </w:rPr>
      </w:pPr>
      <w:r w:rsidRPr="0061756A">
        <w:rPr>
          <w:sz w:val="24"/>
          <w:szCs w:val="24"/>
        </w:rPr>
        <w:t>C</w:t>
      </w:r>
      <w:r w:rsidR="0078263F" w:rsidRPr="0061756A">
        <w:rPr>
          <w:sz w:val="24"/>
          <w:szCs w:val="24"/>
        </w:rPr>
        <w:t>ourt</w:t>
      </w:r>
      <w:r w:rsidR="008D66AC" w:rsidRPr="0061756A">
        <w:rPr>
          <w:sz w:val="24"/>
          <w:szCs w:val="24"/>
        </w:rPr>
        <w:t>s</w:t>
      </w:r>
      <w:r w:rsidR="0078263F" w:rsidRPr="0061756A">
        <w:rPr>
          <w:sz w:val="24"/>
          <w:szCs w:val="24"/>
        </w:rPr>
        <w:t xml:space="preserve"> </w:t>
      </w:r>
      <w:r w:rsidR="00D11A37" w:rsidRPr="0061756A">
        <w:rPr>
          <w:sz w:val="24"/>
          <w:szCs w:val="24"/>
        </w:rPr>
        <w:t xml:space="preserve">often </w:t>
      </w:r>
      <w:r w:rsidRPr="0061756A">
        <w:rPr>
          <w:sz w:val="24"/>
          <w:szCs w:val="24"/>
        </w:rPr>
        <w:t>lack</w:t>
      </w:r>
      <w:r w:rsidR="0078263F" w:rsidRPr="0061756A">
        <w:rPr>
          <w:sz w:val="24"/>
          <w:szCs w:val="24"/>
        </w:rPr>
        <w:t xml:space="preserve"> </w:t>
      </w:r>
      <w:r w:rsidRPr="0061756A">
        <w:rPr>
          <w:sz w:val="24"/>
          <w:szCs w:val="24"/>
        </w:rPr>
        <w:t>information that could show</w:t>
      </w:r>
      <w:r w:rsidR="00D11A37" w:rsidRPr="0061756A">
        <w:rPr>
          <w:sz w:val="24"/>
          <w:szCs w:val="24"/>
        </w:rPr>
        <w:t xml:space="preserve"> them and others the characteristics of the court-involved population, how courts and the justice system respond to the court-involved, and the impact of those responses. </w:t>
      </w:r>
      <w:r w:rsidRPr="0061756A">
        <w:rPr>
          <w:sz w:val="24"/>
          <w:szCs w:val="24"/>
        </w:rPr>
        <w:t xml:space="preserve">There is </w:t>
      </w:r>
      <w:r w:rsidR="00D11A37" w:rsidRPr="0061756A">
        <w:rPr>
          <w:sz w:val="24"/>
          <w:szCs w:val="24"/>
        </w:rPr>
        <w:t>little</w:t>
      </w:r>
      <w:r w:rsidRPr="0061756A">
        <w:rPr>
          <w:sz w:val="24"/>
          <w:szCs w:val="24"/>
        </w:rPr>
        <w:t xml:space="preserve"> need for such information to protect the interests of the powerful. The people who would most benefit from the routine production and use of such information are those involved with criminal</w:t>
      </w:r>
      <w:r w:rsidR="001D25BC" w:rsidRPr="0061756A">
        <w:rPr>
          <w:sz w:val="24"/>
          <w:szCs w:val="24"/>
        </w:rPr>
        <w:t>, juvenile, family, and dependency matters along with</w:t>
      </w:r>
      <w:r w:rsidRPr="0061756A">
        <w:rPr>
          <w:sz w:val="24"/>
          <w:szCs w:val="24"/>
        </w:rPr>
        <w:t xml:space="preserve"> those in need of civil legal aid. Members of these groups </w:t>
      </w:r>
      <w:r w:rsidR="00D11A37" w:rsidRPr="0061756A">
        <w:rPr>
          <w:sz w:val="24"/>
          <w:szCs w:val="24"/>
        </w:rPr>
        <w:t xml:space="preserve">generally </w:t>
      </w:r>
      <w:r w:rsidRPr="0061756A">
        <w:rPr>
          <w:sz w:val="24"/>
          <w:szCs w:val="24"/>
        </w:rPr>
        <w:t xml:space="preserve">lack material resources and are disproportionately </w:t>
      </w:r>
      <w:r w:rsidR="004F2E82" w:rsidRPr="0061756A">
        <w:rPr>
          <w:sz w:val="24"/>
          <w:szCs w:val="24"/>
        </w:rPr>
        <w:t xml:space="preserve">Black, </w:t>
      </w:r>
      <w:r w:rsidR="00862721" w:rsidRPr="0061756A">
        <w:rPr>
          <w:sz w:val="24"/>
          <w:szCs w:val="24"/>
        </w:rPr>
        <w:t>Latino, or American Indians or Alaskan Native</w:t>
      </w:r>
      <w:r w:rsidR="004F2E82" w:rsidRPr="0061756A">
        <w:rPr>
          <w:sz w:val="24"/>
          <w:szCs w:val="24"/>
        </w:rPr>
        <w:t>.</w:t>
      </w:r>
      <w:r w:rsidR="00522280" w:rsidRPr="0061756A">
        <w:rPr>
          <w:sz w:val="24"/>
          <w:szCs w:val="24"/>
        </w:rPr>
        <w:t xml:space="preserve"> </w:t>
      </w:r>
    </w:p>
    <w:p w14:paraId="4BCBAF0E" w14:textId="77777777" w:rsidR="008D66AC" w:rsidRPr="0061756A" w:rsidRDefault="003C5BF6" w:rsidP="008A565E">
      <w:pPr>
        <w:ind w:firstLine="720"/>
        <w:rPr>
          <w:sz w:val="24"/>
          <w:szCs w:val="24"/>
        </w:rPr>
      </w:pPr>
      <w:r w:rsidRPr="0061756A">
        <w:rPr>
          <w:sz w:val="24"/>
          <w:szCs w:val="24"/>
        </w:rPr>
        <w:t>I</w:t>
      </w:r>
      <w:r w:rsidR="00522280" w:rsidRPr="0061756A">
        <w:rPr>
          <w:sz w:val="24"/>
          <w:szCs w:val="24"/>
        </w:rPr>
        <w:t>n addition to class disparities, “notable racial, gender, and age disparities in the criminal justice system are evidenced at every level throughout the system from initial contact with police to adjudication outcomes as well rehabilitation and reentry” (Blesset et al., 2019).</w:t>
      </w:r>
      <w:r w:rsidR="004F2E82" w:rsidRPr="0061756A">
        <w:rPr>
          <w:sz w:val="24"/>
          <w:szCs w:val="24"/>
        </w:rPr>
        <w:t xml:space="preserve"> That the </w:t>
      </w:r>
      <w:r w:rsidR="001D25BC" w:rsidRPr="0061756A">
        <w:rPr>
          <w:sz w:val="24"/>
          <w:szCs w:val="24"/>
        </w:rPr>
        <w:t xml:space="preserve">causes and </w:t>
      </w:r>
      <w:r w:rsidR="004F2E82" w:rsidRPr="0061756A">
        <w:rPr>
          <w:sz w:val="24"/>
          <w:szCs w:val="24"/>
        </w:rPr>
        <w:t xml:space="preserve">consequences of justice system </w:t>
      </w:r>
      <w:r w:rsidR="001D25BC" w:rsidRPr="0061756A">
        <w:rPr>
          <w:sz w:val="24"/>
          <w:szCs w:val="24"/>
        </w:rPr>
        <w:t>involvement</w:t>
      </w:r>
      <w:r w:rsidR="004F2E82" w:rsidRPr="0061756A">
        <w:rPr>
          <w:sz w:val="24"/>
          <w:szCs w:val="24"/>
        </w:rPr>
        <w:t xml:space="preserve"> for these </w:t>
      </w:r>
      <w:r w:rsidR="004F2E82" w:rsidRPr="0061756A">
        <w:rPr>
          <w:sz w:val="24"/>
          <w:szCs w:val="24"/>
        </w:rPr>
        <w:lastRenderedPageBreak/>
        <w:t>individuals</w:t>
      </w:r>
      <w:r w:rsidR="001D25BC" w:rsidRPr="0061756A">
        <w:rPr>
          <w:sz w:val="24"/>
          <w:szCs w:val="24"/>
        </w:rPr>
        <w:t xml:space="preserve"> are so little understood</w:t>
      </w:r>
      <w:r w:rsidR="004F2E82" w:rsidRPr="0061756A">
        <w:rPr>
          <w:sz w:val="24"/>
          <w:szCs w:val="24"/>
        </w:rPr>
        <w:t xml:space="preserve"> </w:t>
      </w:r>
      <w:r w:rsidR="001D25BC" w:rsidRPr="0061756A">
        <w:rPr>
          <w:sz w:val="24"/>
          <w:szCs w:val="24"/>
        </w:rPr>
        <w:t>constitutes</w:t>
      </w:r>
      <w:r w:rsidR="004F2E82" w:rsidRPr="0061756A">
        <w:rPr>
          <w:sz w:val="24"/>
          <w:szCs w:val="24"/>
        </w:rPr>
        <w:t xml:space="preserve"> a grave injustice</w:t>
      </w:r>
      <w:r w:rsidR="001D25BC" w:rsidRPr="0061756A">
        <w:rPr>
          <w:sz w:val="24"/>
          <w:szCs w:val="24"/>
        </w:rPr>
        <w:t xml:space="preserve"> that </w:t>
      </w:r>
      <w:r w:rsidR="004F2E82" w:rsidRPr="0061756A">
        <w:rPr>
          <w:sz w:val="24"/>
          <w:szCs w:val="24"/>
        </w:rPr>
        <w:t>must be remedied</w:t>
      </w:r>
      <w:r w:rsidR="001D25BC" w:rsidRPr="0061756A">
        <w:rPr>
          <w:sz w:val="24"/>
          <w:szCs w:val="24"/>
        </w:rPr>
        <w:t xml:space="preserve"> if the promise of equal and effective justice is to be fulfilled.</w:t>
      </w:r>
    </w:p>
    <w:p w14:paraId="6007858C" w14:textId="4C60AC11" w:rsidR="008A565E" w:rsidRPr="0061756A" w:rsidRDefault="008A565E" w:rsidP="008A565E">
      <w:pPr>
        <w:ind w:firstLine="720"/>
        <w:rPr>
          <w:sz w:val="24"/>
          <w:szCs w:val="24"/>
        </w:rPr>
      </w:pPr>
      <w:r w:rsidRPr="0061756A">
        <w:rPr>
          <w:sz w:val="24"/>
          <w:szCs w:val="24"/>
        </w:rPr>
        <w:t xml:space="preserve">Any remedy for the injustice will </w:t>
      </w:r>
      <w:r w:rsidR="00D11A37" w:rsidRPr="0061756A">
        <w:rPr>
          <w:sz w:val="24"/>
          <w:szCs w:val="24"/>
        </w:rPr>
        <w:t xml:space="preserve">require the active involvement of </w:t>
      </w:r>
      <w:r w:rsidRPr="0061756A">
        <w:rPr>
          <w:sz w:val="24"/>
          <w:szCs w:val="24"/>
        </w:rPr>
        <w:t>judges and court staff. It must also include other actors in the courts</w:t>
      </w:r>
      <w:r w:rsidR="006540D4" w:rsidRPr="0061756A">
        <w:rPr>
          <w:sz w:val="24"/>
          <w:szCs w:val="24"/>
        </w:rPr>
        <w:t>,</w:t>
      </w:r>
      <w:r w:rsidRPr="0061756A">
        <w:rPr>
          <w:sz w:val="24"/>
          <w:szCs w:val="24"/>
        </w:rPr>
        <w:t xml:space="preserve"> such as prosecutors and defenders</w:t>
      </w:r>
      <w:r w:rsidR="006540D4" w:rsidRPr="0061756A">
        <w:rPr>
          <w:sz w:val="24"/>
          <w:szCs w:val="24"/>
        </w:rPr>
        <w:t>,</w:t>
      </w:r>
      <w:r w:rsidRPr="0061756A">
        <w:rPr>
          <w:sz w:val="24"/>
          <w:szCs w:val="24"/>
        </w:rPr>
        <w:t xml:space="preserve"> and any justice official whose decisions can be better informed </w:t>
      </w:r>
      <w:r w:rsidR="00D11A37" w:rsidRPr="0061756A">
        <w:rPr>
          <w:sz w:val="24"/>
          <w:szCs w:val="24"/>
        </w:rPr>
        <w:t>by</w:t>
      </w:r>
      <w:r w:rsidRPr="0061756A">
        <w:rPr>
          <w:sz w:val="24"/>
          <w:szCs w:val="24"/>
        </w:rPr>
        <w:t xml:space="preserve"> relevant information. </w:t>
      </w:r>
    </w:p>
    <w:p w14:paraId="56B99766" w14:textId="09923D5F" w:rsidR="00D11A37" w:rsidRPr="0061756A" w:rsidRDefault="00AF4B1D" w:rsidP="008D66AC">
      <w:pPr>
        <w:ind w:firstLine="720"/>
        <w:rPr>
          <w:sz w:val="24"/>
          <w:szCs w:val="24"/>
        </w:rPr>
      </w:pPr>
      <w:r w:rsidRPr="0061756A">
        <w:rPr>
          <w:sz w:val="24"/>
          <w:szCs w:val="24"/>
        </w:rPr>
        <w:t>To build their capacity for delivering justice, courts require support for ongoing learning</w:t>
      </w:r>
      <w:r w:rsidR="008A565E" w:rsidRPr="0061756A">
        <w:rPr>
          <w:sz w:val="24"/>
          <w:szCs w:val="24"/>
        </w:rPr>
        <w:t>. This ongoing learning includes</w:t>
      </w:r>
      <w:r w:rsidRPr="0061756A">
        <w:rPr>
          <w:sz w:val="24"/>
          <w:szCs w:val="24"/>
        </w:rPr>
        <w:t xml:space="preserve"> training</w:t>
      </w:r>
      <w:r w:rsidR="008A565E" w:rsidRPr="0061756A">
        <w:rPr>
          <w:sz w:val="24"/>
          <w:szCs w:val="24"/>
        </w:rPr>
        <w:t xml:space="preserve"> court staff how to use their data to inform decision making, creating</w:t>
      </w:r>
      <w:r w:rsidRPr="0061756A">
        <w:rPr>
          <w:sz w:val="24"/>
          <w:szCs w:val="24"/>
        </w:rPr>
        <w:t xml:space="preserve"> communities of practice among courts</w:t>
      </w:r>
      <w:r w:rsidR="008A565E" w:rsidRPr="0061756A">
        <w:rPr>
          <w:sz w:val="24"/>
          <w:szCs w:val="24"/>
        </w:rPr>
        <w:t xml:space="preserve">, and supporting courts with technical assistance. The judicial branch can support transparency, accountability, and improvement in the courts by creating and implementing a program of courts as learning organizations. </w:t>
      </w:r>
      <w:r w:rsidR="00D11A37" w:rsidRPr="0061756A">
        <w:rPr>
          <w:sz w:val="24"/>
          <w:szCs w:val="24"/>
        </w:rPr>
        <w:t>We propose to call this effort “Data for Justice.”</w:t>
      </w:r>
      <w:r w:rsidRPr="0061756A">
        <w:rPr>
          <w:sz w:val="24"/>
          <w:szCs w:val="24"/>
        </w:rPr>
        <w:t xml:space="preserve"> </w:t>
      </w:r>
    </w:p>
    <w:p w14:paraId="1B9B476B" w14:textId="5484213E" w:rsidR="004F2E82" w:rsidRPr="0061756A" w:rsidRDefault="00A222B1" w:rsidP="008D66AC">
      <w:pPr>
        <w:ind w:firstLine="720"/>
        <w:rPr>
          <w:sz w:val="24"/>
          <w:szCs w:val="24"/>
        </w:rPr>
      </w:pPr>
      <w:r w:rsidRPr="0061756A">
        <w:rPr>
          <w:sz w:val="24"/>
          <w:szCs w:val="24"/>
        </w:rPr>
        <w:lastRenderedPageBreak/>
        <w:t xml:space="preserve">Washington’s judicial branch can </w:t>
      </w:r>
      <w:r w:rsidR="00D11A37" w:rsidRPr="0061756A">
        <w:rPr>
          <w:sz w:val="24"/>
          <w:szCs w:val="24"/>
        </w:rPr>
        <w:t xml:space="preserve">support Data for Justice by helping </w:t>
      </w:r>
      <w:r w:rsidR="008A565E" w:rsidRPr="0061756A">
        <w:rPr>
          <w:sz w:val="24"/>
          <w:szCs w:val="24"/>
        </w:rPr>
        <w:t xml:space="preserve">the court community </w:t>
      </w:r>
      <w:r w:rsidR="00D11A37" w:rsidRPr="0061756A">
        <w:rPr>
          <w:sz w:val="24"/>
          <w:szCs w:val="24"/>
        </w:rPr>
        <w:t>to</w:t>
      </w:r>
      <w:r w:rsidR="008A565E" w:rsidRPr="0061756A">
        <w:rPr>
          <w:sz w:val="24"/>
          <w:szCs w:val="24"/>
        </w:rPr>
        <w:t xml:space="preserve"> </w:t>
      </w:r>
      <w:r w:rsidRPr="0061756A">
        <w:rPr>
          <w:sz w:val="24"/>
          <w:szCs w:val="24"/>
        </w:rPr>
        <w:t xml:space="preserve">identify areas of court operations where data driven decision making is now either </w:t>
      </w:r>
      <w:r w:rsidR="008A565E" w:rsidRPr="0061756A">
        <w:rPr>
          <w:sz w:val="24"/>
          <w:szCs w:val="24"/>
        </w:rPr>
        <w:t xml:space="preserve">available, available but underutilized, or currently unavailable. </w:t>
      </w:r>
      <w:r w:rsidRPr="0061756A">
        <w:rPr>
          <w:sz w:val="24"/>
          <w:szCs w:val="24"/>
        </w:rPr>
        <w:t>The areas identified can be assigned priority rankings</w:t>
      </w:r>
      <w:r w:rsidR="008A565E" w:rsidRPr="0061756A">
        <w:rPr>
          <w:sz w:val="24"/>
          <w:szCs w:val="24"/>
        </w:rPr>
        <w:t xml:space="preserve"> </w:t>
      </w:r>
      <w:r w:rsidR="00E255ED">
        <w:rPr>
          <w:sz w:val="24"/>
          <w:szCs w:val="24"/>
        </w:rPr>
        <w:t>to help</w:t>
      </w:r>
      <w:r w:rsidR="008A565E" w:rsidRPr="0061756A">
        <w:rPr>
          <w:sz w:val="24"/>
          <w:szCs w:val="24"/>
        </w:rPr>
        <w:t xml:space="preserve"> focus efforts</w:t>
      </w:r>
      <w:r w:rsidRPr="0061756A">
        <w:rPr>
          <w:sz w:val="24"/>
          <w:szCs w:val="24"/>
        </w:rPr>
        <w:t xml:space="preserve">. </w:t>
      </w:r>
      <w:r w:rsidR="005C4790" w:rsidRPr="0061756A">
        <w:rPr>
          <w:sz w:val="24"/>
          <w:szCs w:val="24"/>
        </w:rPr>
        <w:t>T</w:t>
      </w:r>
      <w:r w:rsidR="001D25BC" w:rsidRPr="0061756A">
        <w:rPr>
          <w:sz w:val="24"/>
          <w:szCs w:val="24"/>
        </w:rPr>
        <w:t>o better understand t</w:t>
      </w:r>
      <w:r w:rsidR="005C4790" w:rsidRPr="0061756A">
        <w:rPr>
          <w:sz w:val="24"/>
          <w:szCs w:val="24"/>
        </w:rPr>
        <w:t>he</w:t>
      </w:r>
      <w:r w:rsidR="001D25BC" w:rsidRPr="0061756A">
        <w:rPr>
          <w:sz w:val="24"/>
          <w:szCs w:val="24"/>
        </w:rPr>
        <w:t xml:space="preserve"> justice system as a whole, the</w:t>
      </w:r>
      <w:r w:rsidR="005C4790" w:rsidRPr="0061756A">
        <w:rPr>
          <w:sz w:val="24"/>
          <w:szCs w:val="24"/>
        </w:rPr>
        <w:t xml:space="preserve"> judicial branch </w:t>
      </w:r>
      <w:r w:rsidR="001D25BC" w:rsidRPr="0061756A">
        <w:rPr>
          <w:sz w:val="24"/>
          <w:szCs w:val="24"/>
        </w:rPr>
        <w:t>can</w:t>
      </w:r>
      <w:r w:rsidR="005C4790" w:rsidRPr="0061756A">
        <w:rPr>
          <w:sz w:val="24"/>
          <w:szCs w:val="24"/>
        </w:rPr>
        <w:t xml:space="preserve"> partner with the other branches</w:t>
      </w:r>
      <w:r w:rsidR="001D25BC" w:rsidRPr="0061756A">
        <w:rPr>
          <w:sz w:val="24"/>
          <w:szCs w:val="24"/>
        </w:rPr>
        <w:t xml:space="preserve"> at the state and local levels</w:t>
      </w:r>
      <w:r w:rsidR="005C4790" w:rsidRPr="0061756A">
        <w:rPr>
          <w:sz w:val="24"/>
          <w:szCs w:val="24"/>
        </w:rPr>
        <w:t xml:space="preserve"> to </w:t>
      </w:r>
      <w:r w:rsidR="001D25BC" w:rsidRPr="0061756A">
        <w:rPr>
          <w:sz w:val="24"/>
          <w:szCs w:val="24"/>
        </w:rPr>
        <w:t xml:space="preserve">develop and link </w:t>
      </w:r>
      <w:r w:rsidR="005C4790" w:rsidRPr="0061756A">
        <w:rPr>
          <w:sz w:val="24"/>
          <w:szCs w:val="24"/>
        </w:rPr>
        <w:t>data across the justice system.</w:t>
      </w:r>
    </w:p>
    <w:p w14:paraId="2F0F9B81" w14:textId="77777777" w:rsidR="00B3280D" w:rsidRPr="0061756A" w:rsidRDefault="008D66AC">
      <w:pPr>
        <w:rPr>
          <w:b/>
          <w:sz w:val="24"/>
          <w:szCs w:val="24"/>
        </w:rPr>
      </w:pPr>
      <w:r w:rsidRPr="0061756A">
        <w:rPr>
          <w:b/>
          <w:sz w:val="24"/>
          <w:szCs w:val="24"/>
        </w:rPr>
        <w:t>National Perspective</w:t>
      </w:r>
    </w:p>
    <w:p w14:paraId="5856CB57" w14:textId="0E2DC9C3" w:rsidR="00D53ABE" w:rsidRPr="0061756A" w:rsidRDefault="006540D4" w:rsidP="006540D4">
      <w:pPr>
        <w:ind w:firstLine="720"/>
        <w:rPr>
          <w:sz w:val="24"/>
          <w:szCs w:val="24"/>
        </w:rPr>
      </w:pPr>
      <w:r w:rsidRPr="0061756A">
        <w:rPr>
          <w:sz w:val="24"/>
          <w:szCs w:val="24"/>
        </w:rPr>
        <w:t>It has long been recognized that t</w:t>
      </w:r>
      <w:r w:rsidR="00305449" w:rsidRPr="0061756A">
        <w:rPr>
          <w:sz w:val="24"/>
          <w:szCs w:val="24"/>
        </w:rPr>
        <w:t xml:space="preserve">he judiciary has the responsibility to “improve the administration of justice, a fundamental promise of our Constitution and of our constitutional system” (O’Connor).  </w:t>
      </w:r>
      <w:r w:rsidR="00D53ABE" w:rsidRPr="0061756A">
        <w:rPr>
          <w:sz w:val="24"/>
          <w:szCs w:val="24"/>
        </w:rPr>
        <w:t xml:space="preserve">In 1938, US Supreme Court </w:t>
      </w:r>
      <w:r w:rsidR="005B33EB" w:rsidRPr="0061756A">
        <w:rPr>
          <w:sz w:val="24"/>
          <w:szCs w:val="24"/>
        </w:rPr>
        <w:t>Justice Arthur Vanderbilt, having for decades observed the prevalence of idiosyncratic and unresponsive courts</w:t>
      </w:r>
      <w:r w:rsidR="00B45670" w:rsidRPr="0061756A">
        <w:rPr>
          <w:sz w:val="24"/>
          <w:szCs w:val="24"/>
        </w:rPr>
        <w:t>,</w:t>
      </w:r>
      <w:r w:rsidR="005B33EB" w:rsidRPr="0061756A">
        <w:rPr>
          <w:sz w:val="24"/>
          <w:szCs w:val="24"/>
        </w:rPr>
        <w:t xml:space="preserve"> issued </w:t>
      </w:r>
      <w:r w:rsidR="003E2F8B" w:rsidRPr="0061756A">
        <w:rPr>
          <w:sz w:val="24"/>
          <w:szCs w:val="24"/>
        </w:rPr>
        <w:t>a</w:t>
      </w:r>
      <w:r w:rsidR="005B33EB" w:rsidRPr="0061756A">
        <w:rPr>
          <w:sz w:val="24"/>
          <w:szCs w:val="24"/>
        </w:rPr>
        <w:t xml:space="preserve"> call for timely processing of cases and rational, efficient </w:t>
      </w:r>
      <w:r w:rsidR="005B33EB" w:rsidRPr="0061756A">
        <w:rPr>
          <w:sz w:val="24"/>
          <w:szCs w:val="24"/>
        </w:rPr>
        <w:lastRenderedPageBreak/>
        <w:t>court administration.</w:t>
      </w:r>
      <w:r w:rsidR="003E2F8B" w:rsidRPr="0061756A">
        <w:rPr>
          <w:sz w:val="24"/>
          <w:szCs w:val="24"/>
        </w:rPr>
        <w:t xml:space="preserve"> </w:t>
      </w:r>
      <w:r w:rsidR="00D53ABE" w:rsidRPr="0061756A">
        <w:rPr>
          <w:sz w:val="24"/>
          <w:szCs w:val="24"/>
        </w:rPr>
        <w:t xml:space="preserve">In the decades following, </w:t>
      </w:r>
      <w:r w:rsidR="003E2F8B" w:rsidRPr="0061756A">
        <w:rPr>
          <w:sz w:val="24"/>
          <w:szCs w:val="24"/>
        </w:rPr>
        <w:t xml:space="preserve">court administration began a long drive toward </w:t>
      </w:r>
      <w:r w:rsidR="00D53ABE" w:rsidRPr="0061756A">
        <w:rPr>
          <w:sz w:val="24"/>
          <w:szCs w:val="24"/>
        </w:rPr>
        <w:t>professionalization and specialized training and education.</w:t>
      </w:r>
      <w:r w:rsidR="003E2F8B" w:rsidRPr="0061756A">
        <w:rPr>
          <w:sz w:val="24"/>
          <w:szCs w:val="24"/>
        </w:rPr>
        <w:t xml:space="preserve"> </w:t>
      </w:r>
    </w:p>
    <w:p w14:paraId="14C3AEE3" w14:textId="77777777" w:rsidR="005B33EB" w:rsidRPr="0061756A" w:rsidRDefault="00D53ABE" w:rsidP="005B33EB">
      <w:pPr>
        <w:ind w:firstLine="720"/>
        <w:rPr>
          <w:sz w:val="24"/>
          <w:szCs w:val="24"/>
        </w:rPr>
      </w:pPr>
      <w:r w:rsidRPr="0061756A">
        <w:rPr>
          <w:sz w:val="24"/>
          <w:szCs w:val="24"/>
        </w:rPr>
        <w:t>By the 1970s</w:t>
      </w:r>
      <w:r w:rsidR="003E2F8B" w:rsidRPr="0061756A">
        <w:rPr>
          <w:sz w:val="24"/>
          <w:szCs w:val="24"/>
        </w:rPr>
        <w:t xml:space="preserve"> j</w:t>
      </w:r>
      <w:r w:rsidR="005B33EB" w:rsidRPr="0061756A">
        <w:rPr>
          <w:sz w:val="24"/>
          <w:szCs w:val="24"/>
        </w:rPr>
        <w:t xml:space="preserve">udges and administrators </w:t>
      </w:r>
      <w:r w:rsidRPr="0061756A">
        <w:rPr>
          <w:sz w:val="24"/>
          <w:szCs w:val="24"/>
        </w:rPr>
        <w:t xml:space="preserve">widely strove to </w:t>
      </w:r>
      <w:r w:rsidR="003E2F8B" w:rsidRPr="0061756A">
        <w:rPr>
          <w:sz w:val="24"/>
          <w:szCs w:val="24"/>
        </w:rPr>
        <w:t xml:space="preserve">meet </w:t>
      </w:r>
      <w:r w:rsidR="005B33EB" w:rsidRPr="0061756A">
        <w:rPr>
          <w:sz w:val="24"/>
          <w:szCs w:val="24"/>
        </w:rPr>
        <w:t xml:space="preserve">the </w:t>
      </w:r>
      <w:r w:rsidR="003E2F8B" w:rsidRPr="0061756A">
        <w:rPr>
          <w:sz w:val="24"/>
          <w:szCs w:val="24"/>
        </w:rPr>
        <w:t>imperative for timeliness by tracking and managing for</w:t>
      </w:r>
      <w:r w:rsidR="005B33EB" w:rsidRPr="0061756A">
        <w:rPr>
          <w:sz w:val="24"/>
          <w:szCs w:val="24"/>
        </w:rPr>
        <w:t xml:space="preserve"> timely case resolution</w:t>
      </w:r>
      <w:r w:rsidRPr="0061756A">
        <w:rPr>
          <w:sz w:val="24"/>
          <w:szCs w:val="24"/>
        </w:rPr>
        <w:t xml:space="preserve"> with specific approaches, such as the accelerated </w:t>
      </w:r>
      <w:r w:rsidR="008622CE" w:rsidRPr="0061756A">
        <w:rPr>
          <w:sz w:val="24"/>
          <w:szCs w:val="24"/>
        </w:rPr>
        <w:t>“rocket docket</w:t>
      </w:r>
      <w:r w:rsidRPr="0061756A">
        <w:rPr>
          <w:sz w:val="24"/>
          <w:szCs w:val="24"/>
        </w:rPr>
        <w:t>.</w:t>
      </w:r>
      <w:r w:rsidR="008622CE" w:rsidRPr="0061756A">
        <w:rPr>
          <w:sz w:val="24"/>
          <w:szCs w:val="24"/>
        </w:rPr>
        <w:t>”</w:t>
      </w:r>
      <w:r w:rsidRPr="0061756A">
        <w:rPr>
          <w:sz w:val="24"/>
          <w:szCs w:val="24"/>
        </w:rPr>
        <w:t xml:space="preserve"> </w:t>
      </w:r>
      <w:r w:rsidR="00B709F9" w:rsidRPr="0061756A">
        <w:rPr>
          <w:sz w:val="24"/>
          <w:szCs w:val="24"/>
        </w:rPr>
        <w:t>T</w:t>
      </w:r>
      <w:r w:rsidR="008622CE" w:rsidRPr="0061756A">
        <w:rPr>
          <w:sz w:val="24"/>
          <w:szCs w:val="24"/>
        </w:rPr>
        <w:t>oday, t</w:t>
      </w:r>
      <w:r w:rsidR="00B709F9" w:rsidRPr="0061756A">
        <w:rPr>
          <w:sz w:val="24"/>
          <w:szCs w:val="24"/>
        </w:rPr>
        <w:t>he necessity of taking a similar approach to aspects of court operations beyond case management has led the National Association of Court Managers to call for its members to develop a series of Core Competencies</w:t>
      </w:r>
      <w:r w:rsidR="0033141E" w:rsidRPr="0061756A">
        <w:rPr>
          <w:sz w:val="24"/>
          <w:szCs w:val="24"/>
        </w:rPr>
        <w:t xml:space="preserve">, especially the </w:t>
      </w:r>
      <w:hyperlink r:id="rId7" w:history="1">
        <w:r w:rsidR="0033141E" w:rsidRPr="0061756A">
          <w:rPr>
            <w:rStyle w:val="Hyperlink"/>
            <w:sz w:val="24"/>
            <w:szCs w:val="24"/>
          </w:rPr>
          <w:t>Accountability and Court Performance Competency</w:t>
        </w:r>
      </w:hyperlink>
      <w:r w:rsidR="0033141E" w:rsidRPr="0061756A">
        <w:rPr>
          <w:sz w:val="24"/>
          <w:szCs w:val="24"/>
        </w:rPr>
        <w:t>, which includes diagnosing results, presenting data, practicing ongoing improvement, and using data to drive management decisions</w:t>
      </w:r>
      <w:r w:rsidR="00D336CC" w:rsidRPr="0061756A">
        <w:rPr>
          <w:sz w:val="24"/>
          <w:szCs w:val="24"/>
        </w:rPr>
        <w:t>.</w:t>
      </w:r>
    </w:p>
    <w:p w14:paraId="3218EB9E" w14:textId="77777777" w:rsidR="008D66AC" w:rsidRPr="0061756A" w:rsidRDefault="00B45670" w:rsidP="008D66AC">
      <w:pPr>
        <w:rPr>
          <w:b/>
          <w:sz w:val="24"/>
          <w:szCs w:val="24"/>
        </w:rPr>
      </w:pPr>
      <w:r w:rsidRPr="0061756A">
        <w:rPr>
          <w:b/>
          <w:sz w:val="24"/>
          <w:szCs w:val="24"/>
        </w:rPr>
        <w:t>Washington Courts and</w:t>
      </w:r>
      <w:r w:rsidR="00EB10D2" w:rsidRPr="0061756A">
        <w:rPr>
          <w:b/>
          <w:sz w:val="24"/>
          <w:szCs w:val="24"/>
        </w:rPr>
        <w:t xml:space="preserve"> Data for Justice</w:t>
      </w:r>
    </w:p>
    <w:p w14:paraId="0113EC3C" w14:textId="77777777" w:rsidR="008A565E" w:rsidRPr="0061756A" w:rsidRDefault="005B33EB" w:rsidP="008D66AC">
      <w:pPr>
        <w:ind w:firstLine="720"/>
        <w:rPr>
          <w:sz w:val="24"/>
          <w:szCs w:val="24"/>
        </w:rPr>
      </w:pPr>
      <w:r w:rsidRPr="0061756A">
        <w:rPr>
          <w:sz w:val="24"/>
          <w:szCs w:val="24"/>
        </w:rPr>
        <w:t>Data for Justice</w:t>
      </w:r>
      <w:r w:rsidR="00B45670" w:rsidRPr="0061756A">
        <w:rPr>
          <w:sz w:val="24"/>
          <w:szCs w:val="24"/>
        </w:rPr>
        <w:t xml:space="preserve"> components</w:t>
      </w:r>
      <w:r w:rsidR="008A565E" w:rsidRPr="0061756A">
        <w:rPr>
          <w:sz w:val="24"/>
          <w:szCs w:val="24"/>
        </w:rPr>
        <w:t xml:space="preserve"> are already</w:t>
      </w:r>
      <w:r w:rsidR="00B45670" w:rsidRPr="0061756A">
        <w:rPr>
          <w:sz w:val="24"/>
          <w:szCs w:val="24"/>
        </w:rPr>
        <w:t xml:space="preserve"> familiar to </w:t>
      </w:r>
      <w:r w:rsidR="001D7C47" w:rsidRPr="0061756A">
        <w:rPr>
          <w:sz w:val="24"/>
          <w:szCs w:val="24"/>
        </w:rPr>
        <w:t xml:space="preserve">Washington’s </w:t>
      </w:r>
      <w:r w:rsidRPr="0061756A">
        <w:rPr>
          <w:sz w:val="24"/>
          <w:szCs w:val="24"/>
        </w:rPr>
        <w:t>judicial branch</w:t>
      </w:r>
      <w:r w:rsidR="00B45670" w:rsidRPr="0061756A">
        <w:rPr>
          <w:sz w:val="24"/>
          <w:szCs w:val="24"/>
        </w:rPr>
        <w:t>.</w:t>
      </w:r>
      <w:r w:rsidR="007765B1" w:rsidRPr="0061756A">
        <w:rPr>
          <w:sz w:val="24"/>
          <w:szCs w:val="24"/>
        </w:rPr>
        <w:t xml:space="preserve"> </w:t>
      </w:r>
      <w:r w:rsidR="00EB10D2" w:rsidRPr="0061756A">
        <w:rPr>
          <w:sz w:val="24"/>
          <w:szCs w:val="24"/>
        </w:rPr>
        <w:t>Examples of data-driven deci</w:t>
      </w:r>
      <w:r w:rsidR="00EB10D2" w:rsidRPr="0061756A">
        <w:rPr>
          <w:sz w:val="24"/>
          <w:szCs w:val="24"/>
        </w:rPr>
        <w:lastRenderedPageBreak/>
        <w:t xml:space="preserve">sion making appear </w:t>
      </w:r>
      <w:r w:rsidR="008A565E" w:rsidRPr="0061756A">
        <w:rPr>
          <w:sz w:val="24"/>
          <w:szCs w:val="24"/>
        </w:rPr>
        <w:t xml:space="preserve">in the </w:t>
      </w:r>
      <w:r w:rsidR="00D31B21" w:rsidRPr="0061756A">
        <w:rPr>
          <w:sz w:val="24"/>
          <w:szCs w:val="24"/>
        </w:rPr>
        <w:t>j</w:t>
      </w:r>
      <w:r w:rsidR="001D7C47" w:rsidRPr="0061756A">
        <w:rPr>
          <w:sz w:val="24"/>
          <w:szCs w:val="24"/>
        </w:rPr>
        <w:t>uvenile</w:t>
      </w:r>
      <w:r w:rsidR="008A565E" w:rsidRPr="0061756A">
        <w:rPr>
          <w:sz w:val="24"/>
          <w:szCs w:val="24"/>
        </w:rPr>
        <w:t xml:space="preserve"> and child welfare system, and for pretrial for courts involved in grant-funded efforts: </w:t>
      </w:r>
      <w:r w:rsidR="001D7C47" w:rsidRPr="0061756A">
        <w:rPr>
          <w:sz w:val="24"/>
          <w:szCs w:val="24"/>
        </w:rPr>
        <w:t xml:space="preserve"> </w:t>
      </w:r>
    </w:p>
    <w:p w14:paraId="745A797C" w14:textId="77777777" w:rsidR="008A565E" w:rsidRPr="0061756A" w:rsidRDefault="008A565E" w:rsidP="008A565E">
      <w:pPr>
        <w:pStyle w:val="ListParagraph"/>
        <w:numPr>
          <w:ilvl w:val="0"/>
          <w:numId w:val="3"/>
        </w:numPr>
        <w:rPr>
          <w:sz w:val="24"/>
          <w:szCs w:val="24"/>
        </w:rPr>
      </w:pPr>
      <w:r w:rsidRPr="0061756A">
        <w:rPr>
          <w:sz w:val="24"/>
          <w:szCs w:val="24"/>
        </w:rPr>
        <w:t xml:space="preserve">Juvenile </w:t>
      </w:r>
      <w:r w:rsidR="00D31B21" w:rsidRPr="0061756A">
        <w:rPr>
          <w:sz w:val="24"/>
          <w:szCs w:val="24"/>
        </w:rPr>
        <w:t>d</w:t>
      </w:r>
      <w:r w:rsidR="001D7C47" w:rsidRPr="0061756A">
        <w:rPr>
          <w:sz w:val="24"/>
          <w:szCs w:val="24"/>
        </w:rPr>
        <w:t>etention</w:t>
      </w:r>
      <w:r w:rsidR="00D31B21" w:rsidRPr="0061756A">
        <w:rPr>
          <w:sz w:val="24"/>
          <w:szCs w:val="24"/>
        </w:rPr>
        <w:t xml:space="preserve">, with both the Juvenile Detention Alternatives Program </w:t>
      </w:r>
      <w:r w:rsidRPr="0061756A">
        <w:rPr>
          <w:sz w:val="24"/>
          <w:szCs w:val="24"/>
        </w:rPr>
        <w:t xml:space="preserve">(JDAI) </w:t>
      </w:r>
      <w:r w:rsidR="00D31B21" w:rsidRPr="0061756A">
        <w:rPr>
          <w:sz w:val="24"/>
          <w:szCs w:val="24"/>
        </w:rPr>
        <w:t>and the active Juvenile Detention Quality Assurance Committee</w:t>
      </w:r>
      <w:r w:rsidRPr="0061756A">
        <w:rPr>
          <w:sz w:val="24"/>
          <w:szCs w:val="24"/>
        </w:rPr>
        <w:t xml:space="preserve"> (JDQAC)</w:t>
      </w:r>
      <w:r w:rsidR="00D31B21" w:rsidRPr="0061756A">
        <w:rPr>
          <w:sz w:val="24"/>
          <w:szCs w:val="24"/>
        </w:rPr>
        <w:t xml:space="preserve">. Other examples include disproportionality and outcomes reporting for juvenile detention, juvenile probation, and juvenile recidivism. </w:t>
      </w:r>
    </w:p>
    <w:p w14:paraId="4DF37306" w14:textId="77777777" w:rsidR="008D66AC" w:rsidRPr="0061756A" w:rsidRDefault="00D31B21" w:rsidP="008A565E">
      <w:pPr>
        <w:pStyle w:val="ListParagraph"/>
        <w:numPr>
          <w:ilvl w:val="0"/>
          <w:numId w:val="3"/>
        </w:numPr>
        <w:rPr>
          <w:sz w:val="24"/>
          <w:szCs w:val="24"/>
        </w:rPr>
      </w:pPr>
      <w:r w:rsidRPr="0061756A">
        <w:rPr>
          <w:sz w:val="24"/>
          <w:szCs w:val="24"/>
        </w:rPr>
        <w:t>WSCCR’s Dependency Reporting Program works closely with the Fam</w:t>
      </w:r>
      <w:r w:rsidR="001D7C47" w:rsidRPr="0061756A">
        <w:rPr>
          <w:sz w:val="24"/>
          <w:szCs w:val="24"/>
        </w:rPr>
        <w:t>ily and Juvenile Court Improvement Program,</w:t>
      </w:r>
      <w:r w:rsidR="008A565E" w:rsidRPr="0061756A">
        <w:rPr>
          <w:sz w:val="24"/>
          <w:szCs w:val="24"/>
        </w:rPr>
        <w:t xml:space="preserve"> Family Treatment Courts, and the Early Childhood Court Program.</w:t>
      </w:r>
      <w:r w:rsidR="001D7C47" w:rsidRPr="0061756A">
        <w:rPr>
          <w:sz w:val="24"/>
          <w:szCs w:val="24"/>
        </w:rPr>
        <w:t xml:space="preserve"> </w:t>
      </w:r>
    </w:p>
    <w:p w14:paraId="0F907EA1" w14:textId="02D9B137" w:rsidR="00714989" w:rsidRPr="0061756A" w:rsidRDefault="00714989" w:rsidP="00714989">
      <w:pPr>
        <w:pStyle w:val="ListParagraph"/>
        <w:numPr>
          <w:ilvl w:val="0"/>
          <w:numId w:val="3"/>
        </w:numPr>
        <w:rPr>
          <w:sz w:val="24"/>
          <w:szCs w:val="24"/>
        </w:rPr>
      </w:pPr>
      <w:r w:rsidRPr="0061756A">
        <w:rPr>
          <w:sz w:val="24"/>
          <w:szCs w:val="24"/>
        </w:rPr>
        <w:t>Pretrial process review and data development: Pierce, Thurs</w:t>
      </w:r>
      <w:r w:rsidR="006A5D16">
        <w:rPr>
          <w:sz w:val="24"/>
          <w:szCs w:val="24"/>
        </w:rPr>
        <w:t>ton, and Yakima Superior Courts’</w:t>
      </w:r>
      <w:r w:rsidRPr="0061756A">
        <w:rPr>
          <w:sz w:val="24"/>
          <w:szCs w:val="24"/>
        </w:rPr>
        <w:t xml:space="preserve"> initiative</w:t>
      </w:r>
      <w:r w:rsidR="006A5D16">
        <w:rPr>
          <w:sz w:val="24"/>
          <w:szCs w:val="24"/>
        </w:rPr>
        <w:t>s</w:t>
      </w:r>
      <w:r w:rsidRPr="0061756A">
        <w:rPr>
          <w:sz w:val="24"/>
          <w:szCs w:val="24"/>
        </w:rPr>
        <w:t xml:space="preserve"> to reduce both disproportionality and use of pretrial confinement. </w:t>
      </w:r>
    </w:p>
    <w:p w14:paraId="3556AAF9" w14:textId="3B7EE20A" w:rsidR="00B33E75" w:rsidRPr="0061756A" w:rsidRDefault="00AF4B1D">
      <w:pPr>
        <w:rPr>
          <w:b/>
          <w:sz w:val="24"/>
          <w:szCs w:val="24"/>
        </w:rPr>
      </w:pPr>
      <w:r w:rsidRPr="0061756A">
        <w:rPr>
          <w:b/>
          <w:sz w:val="24"/>
          <w:szCs w:val="24"/>
        </w:rPr>
        <w:t xml:space="preserve">Problem </w:t>
      </w:r>
      <w:r w:rsidR="00265A36" w:rsidRPr="0061756A">
        <w:rPr>
          <w:b/>
          <w:sz w:val="24"/>
          <w:szCs w:val="24"/>
        </w:rPr>
        <w:t>D</w:t>
      </w:r>
      <w:r w:rsidRPr="0061756A">
        <w:rPr>
          <w:b/>
          <w:sz w:val="24"/>
          <w:szCs w:val="24"/>
        </w:rPr>
        <w:t>etails</w:t>
      </w:r>
      <w:r w:rsidR="00265A36" w:rsidRPr="0061756A">
        <w:rPr>
          <w:b/>
          <w:sz w:val="24"/>
          <w:szCs w:val="24"/>
        </w:rPr>
        <w:t>: Gaps in Data</w:t>
      </w:r>
      <w:r w:rsidR="00ED53A9" w:rsidRPr="0061756A">
        <w:rPr>
          <w:b/>
          <w:sz w:val="24"/>
          <w:szCs w:val="24"/>
        </w:rPr>
        <w:t xml:space="preserve">, </w:t>
      </w:r>
      <w:r w:rsidR="00D65212" w:rsidRPr="0061756A">
        <w:rPr>
          <w:b/>
          <w:sz w:val="24"/>
          <w:szCs w:val="24"/>
        </w:rPr>
        <w:t>Need for Staff Training</w:t>
      </w:r>
    </w:p>
    <w:p w14:paraId="58E9ED0B" w14:textId="7E4704AA" w:rsidR="00B33E75" w:rsidRPr="0061756A" w:rsidRDefault="00D65212" w:rsidP="00D65212">
      <w:pPr>
        <w:pStyle w:val="ListParagraph"/>
        <w:numPr>
          <w:ilvl w:val="0"/>
          <w:numId w:val="7"/>
        </w:numPr>
        <w:rPr>
          <w:sz w:val="24"/>
          <w:szCs w:val="24"/>
        </w:rPr>
      </w:pPr>
      <w:r w:rsidRPr="0061756A">
        <w:rPr>
          <w:sz w:val="24"/>
          <w:szCs w:val="24"/>
          <w:u w:val="single"/>
        </w:rPr>
        <w:lastRenderedPageBreak/>
        <w:t>Information Gaps:</w:t>
      </w:r>
      <w:r w:rsidRPr="0061756A">
        <w:rPr>
          <w:sz w:val="24"/>
          <w:szCs w:val="24"/>
        </w:rPr>
        <w:t xml:space="preserve"> </w:t>
      </w:r>
      <w:r w:rsidR="00D209E1" w:rsidRPr="0061756A">
        <w:rPr>
          <w:sz w:val="24"/>
          <w:szCs w:val="24"/>
        </w:rPr>
        <w:t xml:space="preserve">Disproportionality </w:t>
      </w:r>
      <w:r w:rsidR="00FD4C46" w:rsidRPr="0061756A">
        <w:rPr>
          <w:sz w:val="24"/>
          <w:szCs w:val="24"/>
        </w:rPr>
        <w:t xml:space="preserve">information gaps </w:t>
      </w:r>
      <w:r w:rsidR="00B33E75" w:rsidRPr="0061756A">
        <w:rPr>
          <w:sz w:val="24"/>
          <w:szCs w:val="24"/>
        </w:rPr>
        <w:t xml:space="preserve">and </w:t>
      </w:r>
      <w:r w:rsidR="00ED53A9" w:rsidRPr="0061756A">
        <w:rPr>
          <w:sz w:val="24"/>
          <w:szCs w:val="24"/>
        </w:rPr>
        <w:t>the lack of</w:t>
      </w:r>
      <w:r w:rsidR="00B33E75" w:rsidRPr="0061756A">
        <w:rPr>
          <w:sz w:val="24"/>
          <w:szCs w:val="24"/>
        </w:rPr>
        <w:t xml:space="preserve"> other </w:t>
      </w:r>
      <w:r w:rsidR="00ED53A9" w:rsidRPr="0061756A">
        <w:rPr>
          <w:sz w:val="24"/>
          <w:szCs w:val="24"/>
        </w:rPr>
        <w:t xml:space="preserve">key </w:t>
      </w:r>
      <w:r w:rsidR="00B33E75" w:rsidRPr="0061756A">
        <w:rPr>
          <w:sz w:val="24"/>
          <w:szCs w:val="24"/>
        </w:rPr>
        <w:t xml:space="preserve">indicators of court process and performance </w:t>
      </w:r>
      <w:r w:rsidR="00FD4C46" w:rsidRPr="0061756A">
        <w:rPr>
          <w:sz w:val="24"/>
          <w:szCs w:val="24"/>
        </w:rPr>
        <w:t>ap</w:t>
      </w:r>
      <w:r w:rsidR="00A44A58" w:rsidRPr="0061756A">
        <w:rPr>
          <w:sz w:val="24"/>
          <w:szCs w:val="24"/>
        </w:rPr>
        <w:t>pear across</w:t>
      </w:r>
      <w:r w:rsidR="00ED53A9" w:rsidRPr="0061756A">
        <w:rPr>
          <w:sz w:val="24"/>
          <w:szCs w:val="24"/>
        </w:rPr>
        <w:t xml:space="preserve"> the court</w:t>
      </w:r>
      <w:r w:rsidR="00A44A58" w:rsidRPr="0061756A">
        <w:rPr>
          <w:sz w:val="24"/>
          <w:szCs w:val="24"/>
        </w:rPr>
        <w:t xml:space="preserve"> operations</w:t>
      </w:r>
      <w:r w:rsidR="00ED53A9" w:rsidRPr="0061756A">
        <w:rPr>
          <w:sz w:val="24"/>
          <w:szCs w:val="24"/>
        </w:rPr>
        <w:t>, regardless of subject matter</w:t>
      </w:r>
      <w:r w:rsidR="00A44A58" w:rsidRPr="0061756A">
        <w:rPr>
          <w:sz w:val="24"/>
          <w:szCs w:val="24"/>
        </w:rPr>
        <w:t xml:space="preserve">. Examples </w:t>
      </w:r>
      <w:r w:rsidR="007D2B8C" w:rsidRPr="0061756A">
        <w:rPr>
          <w:sz w:val="24"/>
          <w:szCs w:val="24"/>
        </w:rPr>
        <w:t>of</w:t>
      </w:r>
      <w:r w:rsidR="00ED53A9" w:rsidRPr="0061756A">
        <w:rPr>
          <w:sz w:val="24"/>
          <w:szCs w:val="24"/>
        </w:rPr>
        <w:t xml:space="preserve"> data</w:t>
      </w:r>
      <w:r w:rsidR="007D2B8C" w:rsidRPr="0061756A">
        <w:rPr>
          <w:sz w:val="24"/>
          <w:szCs w:val="24"/>
        </w:rPr>
        <w:t xml:space="preserve"> gaps </w:t>
      </w:r>
      <w:r w:rsidR="00A44A58" w:rsidRPr="0061756A">
        <w:rPr>
          <w:sz w:val="24"/>
          <w:szCs w:val="24"/>
        </w:rPr>
        <w:t>include:</w:t>
      </w:r>
      <w:r w:rsidR="00FD4C46" w:rsidRPr="0061756A">
        <w:rPr>
          <w:sz w:val="24"/>
          <w:szCs w:val="24"/>
        </w:rPr>
        <w:t xml:space="preserve"> </w:t>
      </w:r>
    </w:p>
    <w:p w14:paraId="34631D81" w14:textId="77777777" w:rsidR="00ED53A9" w:rsidRPr="0061756A" w:rsidRDefault="00B45670" w:rsidP="00A44A58">
      <w:pPr>
        <w:pStyle w:val="ListParagraph"/>
        <w:numPr>
          <w:ilvl w:val="0"/>
          <w:numId w:val="2"/>
        </w:numPr>
        <w:rPr>
          <w:sz w:val="24"/>
          <w:szCs w:val="24"/>
        </w:rPr>
      </w:pPr>
      <w:r w:rsidRPr="0061756A">
        <w:rPr>
          <w:sz w:val="24"/>
          <w:szCs w:val="24"/>
        </w:rPr>
        <w:t>Pathways to justice involvement and</w:t>
      </w:r>
      <w:r w:rsidR="00ED53A9" w:rsidRPr="0061756A">
        <w:rPr>
          <w:sz w:val="24"/>
          <w:szCs w:val="24"/>
        </w:rPr>
        <w:t xml:space="preserve"> the</w:t>
      </w:r>
      <w:r w:rsidRPr="0061756A">
        <w:rPr>
          <w:sz w:val="24"/>
          <w:szCs w:val="24"/>
        </w:rPr>
        <w:t xml:space="preserve"> characteristics</w:t>
      </w:r>
      <w:r w:rsidR="00ED53A9" w:rsidRPr="0061756A">
        <w:rPr>
          <w:sz w:val="24"/>
          <w:szCs w:val="24"/>
        </w:rPr>
        <w:t xml:space="preserve"> of people involved in criminal matters</w:t>
      </w:r>
      <w:r w:rsidRPr="0061756A">
        <w:rPr>
          <w:sz w:val="24"/>
          <w:szCs w:val="24"/>
        </w:rPr>
        <w:t>—</w:t>
      </w:r>
      <w:r w:rsidR="00ED53A9" w:rsidRPr="0061756A">
        <w:rPr>
          <w:sz w:val="24"/>
          <w:szCs w:val="24"/>
        </w:rPr>
        <w:t>characteristics such as</w:t>
      </w:r>
      <w:r w:rsidRPr="0061756A">
        <w:rPr>
          <w:sz w:val="24"/>
          <w:szCs w:val="24"/>
        </w:rPr>
        <w:t xml:space="preserve"> race, ethnicity, gender identity, sexual orientation</w:t>
      </w:r>
    </w:p>
    <w:p w14:paraId="2137AFFD" w14:textId="0F67EC1B" w:rsidR="00B33E75" w:rsidRPr="0061756A" w:rsidRDefault="00ED53A9" w:rsidP="00A44A58">
      <w:pPr>
        <w:pStyle w:val="ListParagraph"/>
        <w:numPr>
          <w:ilvl w:val="0"/>
          <w:numId w:val="2"/>
        </w:numPr>
        <w:rPr>
          <w:sz w:val="24"/>
          <w:szCs w:val="24"/>
        </w:rPr>
      </w:pPr>
      <w:r w:rsidRPr="0061756A">
        <w:rPr>
          <w:sz w:val="24"/>
          <w:szCs w:val="24"/>
        </w:rPr>
        <w:t>O</w:t>
      </w:r>
      <w:r w:rsidR="00B45670" w:rsidRPr="0061756A">
        <w:rPr>
          <w:sz w:val="24"/>
          <w:szCs w:val="24"/>
        </w:rPr>
        <w:t xml:space="preserve">utcomes for </w:t>
      </w:r>
      <w:r w:rsidRPr="0061756A">
        <w:rPr>
          <w:sz w:val="24"/>
          <w:szCs w:val="24"/>
        </w:rPr>
        <w:t xml:space="preserve">people with </w:t>
      </w:r>
      <w:r w:rsidR="00E751DE" w:rsidRPr="0061756A">
        <w:rPr>
          <w:sz w:val="24"/>
          <w:szCs w:val="24"/>
        </w:rPr>
        <w:t>criminal matters</w:t>
      </w:r>
      <w:r w:rsidR="00B33E75" w:rsidRPr="0061756A">
        <w:rPr>
          <w:sz w:val="24"/>
          <w:szCs w:val="24"/>
        </w:rPr>
        <w:t>:</w:t>
      </w:r>
      <w:r w:rsidR="00FD4C46" w:rsidRPr="0061756A">
        <w:rPr>
          <w:sz w:val="24"/>
          <w:szCs w:val="24"/>
        </w:rPr>
        <w:t xml:space="preserve"> </w:t>
      </w:r>
      <w:r w:rsidR="00B33E75" w:rsidRPr="0061756A">
        <w:rPr>
          <w:sz w:val="24"/>
          <w:szCs w:val="24"/>
        </w:rPr>
        <w:t xml:space="preserve">prosecutor </w:t>
      </w:r>
      <w:r w:rsidR="00FD4C46" w:rsidRPr="0061756A">
        <w:rPr>
          <w:sz w:val="24"/>
          <w:szCs w:val="24"/>
        </w:rPr>
        <w:t>diversion</w:t>
      </w:r>
      <w:r w:rsidRPr="0061756A">
        <w:rPr>
          <w:sz w:val="24"/>
          <w:szCs w:val="24"/>
        </w:rPr>
        <w:t xml:space="preserve">s and </w:t>
      </w:r>
      <w:r w:rsidR="00FD4C46" w:rsidRPr="0061756A">
        <w:rPr>
          <w:sz w:val="24"/>
          <w:szCs w:val="24"/>
        </w:rPr>
        <w:t>referrals,</w:t>
      </w:r>
      <w:r w:rsidR="007D2B8C" w:rsidRPr="0061756A">
        <w:rPr>
          <w:sz w:val="24"/>
          <w:szCs w:val="24"/>
        </w:rPr>
        <w:t xml:space="preserve"> behavioral health diversion</w:t>
      </w:r>
      <w:r w:rsidRPr="0061756A">
        <w:rPr>
          <w:sz w:val="24"/>
          <w:szCs w:val="24"/>
        </w:rPr>
        <w:t>s</w:t>
      </w:r>
      <w:r w:rsidR="007D2B8C" w:rsidRPr="0061756A">
        <w:rPr>
          <w:sz w:val="24"/>
          <w:szCs w:val="24"/>
        </w:rPr>
        <w:t>,</w:t>
      </w:r>
      <w:r w:rsidR="00FD4C46" w:rsidRPr="0061756A">
        <w:rPr>
          <w:sz w:val="24"/>
          <w:szCs w:val="24"/>
        </w:rPr>
        <w:t xml:space="preserve"> </w:t>
      </w:r>
      <w:r w:rsidR="00301639" w:rsidRPr="0061756A">
        <w:rPr>
          <w:sz w:val="24"/>
          <w:szCs w:val="24"/>
        </w:rPr>
        <w:t>pretrial</w:t>
      </w:r>
      <w:r w:rsidR="00FD4C46" w:rsidRPr="0061756A">
        <w:rPr>
          <w:sz w:val="24"/>
          <w:szCs w:val="24"/>
        </w:rPr>
        <w:t xml:space="preserve"> conditions and</w:t>
      </w:r>
      <w:r w:rsidR="00301639" w:rsidRPr="0061756A">
        <w:rPr>
          <w:sz w:val="24"/>
          <w:szCs w:val="24"/>
        </w:rPr>
        <w:t xml:space="preserve"> detention, sentencing </w:t>
      </w:r>
      <w:r w:rsidR="00FD4C46" w:rsidRPr="0061756A">
        <w:rPr>
          <w:sz w:val="24"/>
          <w:szCs w:val="24"/>
        </w:rPr>
        <w:t xml:space="preserve">to jail / prison / community supervision / treatment programs, </w:t>
      </w:r>
      <w:r w:rsidR="00301639" w:rsidRPr="0061756A">
        <w:rPr>
          <w:sz w:val="24"/>
          <w:szCs w:val="24"/>
        </w:rPr>
        <w:t>therape</w:t>
      </w:r>
      <w:r w:rsidR="00FD4C46" w:rsidRPr="0061756A">
        <w:rPr>
          <w:sz w:val="24"/>
          <w:szCs w:val="24"/>
        </w:rPr>
        <w:t xml:space="preserve">utic courts, </w:t>
      </w:r>
      <w:r w:rsidR="00301639" w:rsidRPr="0061756A">
        <w:rPr>
          <w:sz w:val="24"/>
          <w:szCs w:val="24"/>
        </w:rPr>
        <w:t>LFOs</w:t>
      </w:r>
      <w:r w:rsidR="00FD4C46" w:rsidRPr="0061756A">
        <w:rPr>
          <w:sz w:val="24"/>
          <w:szCs w:val="24"/>
        </w:rPr>
        <w:t xml:space="preserve"> and payment</w:t>
      </w:r>
      <w:r w:rsidR="007D2B8C" w:rsidRPr="0061756A">
        <w:rPr>
          <w:sz w:val="24"/>
          <w:szCs w:val="24"/>
        </w:rPr>
        <w:t>, access to interpreter services</w:t>
      </w:r>
    </w:p>
    <w:p w14:paraId="70675373" w14:textId="6D2D4796" w:rsidR="007D2B8C" w:rsidRPr="0061756A" w:rsidRDefault="007D2B8C" w:rsidP="00A44A58">
      <w:pPr>
        <w:pStyle w:val="ListParagraph"/>
        <w:numPr>
          <w:ilvl w:val="0"/>
          <w:numId w:val="2"/>
        </w:numPr>
        <w:rPr>
          <w:sz w:val="24"/>
          <w:szCs w:val="24"/>
        </w:rPr>
      </w:pPr>
      <w:r w:rsidRPr="0061756A">
        <w:rPr>
          <w:sz w:val="24"/>
          <w:szCs w:val="24"/>
        </w:rPr>
        <w:t xml:space="preserve">The overlap between abuse and neglect in childhood and later court involvement for </w:t>
      </w:r>
      <w:r w:rsidR="00ED53A9" w:rsidRPr="0061756A">
        <w:rPr>
          <w:sz w:val="24"/>
          <w:szCs w:val="24"/>
        </w:rPr>
        <w:t xml:space="preserve">juvenile </w:t>
      </w:r>
      <w:r w:rsidRPr="0061756A">
        <w:rPr>
          <w:sz w:val="24"/>
          <w:szCs w:val="24"/>
        </w:rPr>
        <w:t>offender</w:t>
      </w:r>
      <w:r w:rsidR="00ED53A9" w:rsidRPr="0061756A">
        <w:rPr>
          <w:sz w:val="24"/>
          <w:szCs w:val="24"/>
        </w:rPr>
        <w:t xml:space="preserve"> and adult criminal</w:t>
      </w:r>
      <w:r w:rsidRPr="0061756A">
        <w:rPr>
          <w:sz w:val="24"/>
          <w:szCs w:val="24"/>
        </w:rPr>
        <w:t xml:space="preserve"> matters</w:t>
      </w:r>
    </w:p>
    <w:p w14:paraId="46F95B1D" w14:textId="77777777" w:rsidR="00FD4C46" w:rsidRPr="0061756A" w:rsidRDefault="00B45670" w:rsidP="00A44A58">
      <w:pPr>
        <w:pStyle w:val="ListParagraph"/>
        <w:numPr>
          <w:ilvl w:val="0"/>
          <w:numId w:val="2"/>
        </w:numPr>
        <w:rPr>
          <w:sz w:val="24"/>
          <w:szCs w:val="24"/>
        </w:rPr>
      </w:pPr>
      <w:r w:rsidRPr="0061756A">
        <w:rPr>
          <w:sz w:val="24"/>
          <w:szCs w:val="24"/>
        </w:rPr>
        <w:lastRenderedPageBreak/>
        <w:t>Pathways, characteristics, and outcomes for p</w:t>
      </w:r>
      <w:r w:rsidR="00E751DE" w:rsidRPr="0061756A">
        <w:rPr>
          <w:sz w:val="24"/>
          <w:szCs w:val="24"/>
        </w:rPr>
        <w:t xml:space="preserve">ersons with </w:t>
      </w:r>
      <w:r w:rsidR="00B33E75" w:rsidRPr="0061756A">
        <w:rPr>
          <w:sz w:val="24"/>
          <w:szCs w:val="24"/>
        </w:rPr>
        <w:t>civil</w:t>
      </w:r>
      <w:r w:rsidR="00E751DE" w:rsidRPr="0061756A">
        <w:rPr>
          <w:sz w:val="24"/>
          <w:szCs w:val="24"/>
        </w:rPr>
        <w:t xml:space="preserve"> matters</w:t>
      </w:r>
      <w:r w:rsidR="00B33E75" w:rsidRPr="0061756A">
        <w:rPr>
          <w:sz w:val="24"/>
          <w:szCs w:val="24"/>
        </w:rPr>
        <w:t>: debt collection, landlord tenant disputes, protection orders</w:t>
      </w:r>
    </w:p>
    <w:p w14:paraId="67293695" w14:textId="54EF7ADD" w:rsidR="003F6B1B" w:rsidRPr="0061756A" w:rsidRDefault="003F6B1B" w:rsidP="00A44A58">
      <w:pPr>
        <w:pStyle w:val="ListParagraph"/>
        <w:numPr>
          <w:ilvl w:val="0"/>
          <w:numId w:val="2"/>
        </w:numPr>
        <w:rPr>
          <w:sz w:val="24"/>
          <w:szCs w:val="24"/>
        </w:rPr>
      </w:pPr>
      <w:r w:rsidRPr="0061756A">
        <w:rPr>
          <w:sz w:val="24"/>
          <w:szCs w:val="24"/>
        </w:rPr>
        <w:t>The overlap between race / ethnicity and c</w:t>
      </w:r>
      <w:r w:rsidR="00E751DE" w:rsidRPr="0061756A">
        <w:rPr>
          <w:sz w:val="24"/>
          <w:szCs w:val="24"/>
        </w:rPr>
        <w:t xml:space="preserve">onditions </w:t>
      </w:r>
      <w:r w:rsidR="00ED53A9" w:rsidRPr="0061756A">
        <w:rPr>
          <w:sz w:val="24"/>
          <w:szCs w:val="24"/>
        </w:rPr>
        <w:t>prior to</w:t>
      </w:r>
      <w:r w:rsidR="00E751DE" w:rsidRPr="0061756A">
        <w:rPr>
          <w:sz w:val="24"/>
          <w:szCs w:val="24"/>
        </w:rPr>
        <w:t xml:space="preserve"> court involvement, such as exposure to trauma, child welfare involvement, </w:t>
      </w:r>
      <w:r w:rsidRPr="0061756A">
        <w:rPr>
          <w:sz w:val="24"/>
          <w:szCs w:val="24"/>
        </w:rPr>
        <w:t xml:space="preserve">school engagement (juvenile court), </w:t>
      </w:r>
      <w:r w:rsidR="00E751DE" w:rsidRPr="0061756A">
        <w:rPr>
          <w:sz w:val="24"/>
          <w:szCs w:val="24"/>
        </w:rPr>
        <w:t>behavioral health treatment needs</w:t>
      </w:r>
    </w:p>
    <w:p w14:paraId="123FE8E2" w14:textId="747045B9" w:rsidR="00D65212" w:rsidRPr="0061756A" w:rsidRDefault="003F6B1B" w:rsidP="00A44A58">
      <w:pPr>
        <w:pStyle w:val="ListParagraph"/>
        <w:numPr>
          <w:ilvl w:val="0"/>
          <w:numId w:val="2"/>
        </w:numPr>
        <w:rPr>
          <w:sz w:val="24"/>
          <w:szCs w:val="24"/>
        </w:rPr>
      </w:pPr>
      <w:r w:rsidRPr="0061756A">
        <w:rPr>
          <w:sz w:val="24"/>
          <w:szCs w:val="24"/>
        </w:rPr>
        <w:t>The overlap between race /ethnicity and conditions after court involvement, such as adult recidivism, employment, access to health care</w:t>
      </w:r>
      <w:r w:rsidR="006A5D16">
        <w:rPr>
          <w:sz w:val="24"/>
          <w:szCs w:val="24"/>
        </w:rPr>
        <w:t>.</w:t>
      </w:r>
    </w:p>
    <w:p w14:paraId="331FE42C" w14:textId="38D5E411" w:rsidR="00E751DE" w:rsidRPr="0061756A" w:rsidRDefault="003F6B1B" w:rsidP="00D65212">
      <w:pPr>
        <w:pStyle w:val="ListParagraph"/>
        <w:ind w:left="1080"/>
        <w:rPr>
          <w:sz w:val="24"/>
          <w:szCs w:val="24"/>
        </w:rPr>
      </w:pPr>
      <w:r w:rsidRPr="0061756A">
        <w:rPr>
          <w:sz w:val="24"/>
          <w:szCs w:val="24"/>
        </w:rPr>
        <w:t xml:space="preserve"> </w:t>
      </w:r>
    </w:p>
    <w:p w14:paraId="698130FE" w14:textId="7D904828" w:rsidR="00D31B21" w:rsidRPr="0061756A" w:rsidRDefault="00D31B21" w:rsidP="00D65212">
      <w:pPr>
        <w:pStyle w:val="ListParagraph"/>
        <w:rPr>
          <w:sz w:val="24"/>
          <w:szCs w:val="24"/>
        </w:rPr>
      </w:pPr>
      <w:r w:rsidRPr="0061756A">
        <w:rPr>
          <w:sz w:val="24"/>
          <w:szCs w:val="24"/>
        </w:rPr>
        <w:t xml:space="preserve">The </w:t>
      </w:r>
      <w:r w:rsidR="00604AF4" w:rsidRPr="0061756A">
        <w:rPr>
          <w:sz w:val="24"/>
          <w:szCs w:val="24"/>
        </w:rPr>
        <w:t>cost</w:t>
      </w:r>
      <w:r w:rsidRPr="0061756A">
        <w:rPr>
          <w:sz w:val="24"/>
          <w:szCs w:val="24"/>
        </w:rPr>
        <w:t xml:space="preserve"> of these</w:t>
      </w:r>
      <w:r w:rsidR="00604AF4" w:rsidRPr="0061756A">
        <w:rPr>
          <w:sz w:val="24"/>
          <w:szCs w:val="24"/>
        </w:rPr>
        <w:t xml:space="preserve"> information</w:t>
      </w:r>
      <w:r w:rsidRPr="0061756A">
        <w:rPr>
          <w:sz w:val="24"/>
          <w:szCs w:val="24"/>
        </w:rPr>
        <w:t xml:space="preserve"> gaps</w:t>
      </w:r>
      <w:r w:rsidR="00604AF4" w:rsidRPr="0061756A">
        <w:rPr>
          <w:sz w:val="24"/>
          <w:szCs w:val="24"/>
        </w:rPr>
        <w:t xml:space="preserve"> cannot be calculated, but each negatively affects the life chances of the court-involved because they lead to missed opportunities to reduce the burden and to improve the results of system contact.</w:t>
      </w:r>
    </w:p>
    <w:p w14:paraId="1E56A8A3" w14:textId="77777777" w:rsidR="00D65212" w:rsidRPr="0061756A" w:rsidRDefault="00D65212" w:rsidP="00D65212">
      <w:pPr>
        <w:pStyle w:val="ListParagraph"/>
        <w:rPr>
          <w:sz w:val="24"/>
          <w:szCs w:val="24"/>
        </w:rPr>
      </w:pPr>
    </w:p>
    <w:p w14:paraId="6672E8F6" w14:textId="5BDE3C50" w:rsidR="00D65212" w:rsidRPr="0061756A" w:rsidRDefault="00D65212" w:rsidP="00D65212">
      <w:pPr>
        <w:pStyle w:val="ListParagraph"/>
        <w:numPr>
          <w:ilvl w:val="0"/>
          <w:numId w:val="7"/>
        </w:numPr>
        <w:rPr>
          <w:sz w:val="24"/>
          <w:szCs w:val="24"/>
          <w:u w:val="single"/>
        </w:rPr>
      </w:pPr>
      <w:r w:rsidRPr="0061756A">
        <w:rPr>
          <w:sz w:val="24"/>
          <w:szCs w:val="24"/>
          <w:u w:val="single"/>
        </w:rPr>
        <w:lastRenderedPageBreak/>
        <w:t xml:space="preserve">Need for staff training: </w:t>
      </w:r>
      <w:r w:rsidR="000505C0" w:rsidRPr="0061756A">
        <w:rPr>
          <w:sz w:val="24"/>
          <w:szCs w:val="24"/>
        </w:rPr>
        <w:t>The National Center for State Courts’ Institute for Court Management and the National Association of Court Managers’ Core Competency trainings are offered to all courts in the nation, but the trainings are infrequent, conducted by educators who typically are not Washington residents, and do not give rise to easily-accessed, ongoing technic</w:t>
      </w:r>
      <w:r w:rsidR="00CF2623" w:rsidRPr="0061756A">
        <w:rPr>
          <w:sz w:val="24"/>
          <w:szCs w:val="24"/>
        </w:rPr>
        <w:t>al</w:t>
      </w:r>
      <w:r w:rsidR="000505C0" w:rsidRPr="0061756A">
        <w:rPr>
          <w:sz w:val="24"/>
          <w:szCs w:val="24"/>
        </w:rPr>
        <w:t xml:space="preserve"> guidance for court staff</w:t>
      </w:r>
      <w:r w:rsidR="00CF2623" w:rsidRPr="0061756A">
        <w:rPr>
          <w:sz w:val="24"/>
          <w:szCs w:val="24"/>
        </w:rPr>
        <w:t xml:space="preserve"> as they develop their data-using skills, </w:t>
      </w:r>
      <w:r w:rsidR="006A5D16">
        <w:rPr>
          <w:sz w:val="24"/>
          <w:szCs w:val="24"/>
        </w:rPr>
        <w:t xml:space="preserve">therefore </w:t>
      </w:r>
      <w:r w:rsidR="00CF2623" w:rsidRPr="0061756A">
        <w:rPr>
          <w:sz w:val="24"/>
          <w:szCs w:val="24"/>
        </w:rPr>
        <w:t>courts will find it challenging to extract the full potential value of any data collected. Data for Justice needs a Data Users’ School.</w:t>
      </w:r>
    </w:p>
    <w:p w14:paraId="1C416547" w14:textId="77777777" w:rsidR="003F6B1B" w:rsidRPr="0061756A" w:rsidRDefault="00265A36">
      <w:pPr>
        <w:rPr>
          <w:b/>
          <w:sz w:val="24"/>
          <w:szCs w:val="24"/>
        </w:rPr>
      </w:pPr>
      <w:r w:rsidRPr="0061756A">
        <w:rPr>
          <w:b/>
          <w:sz w:val="24"/>
          <w:szCs w:val="24"/>
        </w:rPr>
        <w:t>Components of Data for Justice</w:t>
      </w:r>
    </w:p>
    <w:p w14:paraId="13D728F1" w14:textId="5EBB433E" w:rsidR="00A44A58" w:rsidRPr="0061756A" w:rsidRDefault="00264A1A" w:rsidP="00155F0C">
      <w:pPr>
        <w:ind w:firstLine="360"/>
        <w:rPr>
          <w:sz w:val="24"/>
          <w:szCs w:val="24"/>
        </w:rPr>
      </w:pPr>
      <w:r w:rsidRPr="0061756A">
        <w:rPr>
          <w:sz w:val="24"/>
          <w:szCs w:val="24"/>
        </w:rPr>
        <w:t>We</w:t>
      </w:r>
      <w:r w:rsidR="00A44A58" w:rsidRPr="0061756A">
        <w:rPr>
          <w:sz w:val="24"/>
          <w:szCs w:val="24"/>
        </w:rPr>
        <w:t xml:space="preserve"> recommend </w:t>
      </w:r>
      <w:r w:rsidR="00CF2623" w:rsidRPr="0061756A">
        <w:rPr>
          <w:sz w:val="24"/>
          <w:szCs w:val="24"/>
        </w:rPr>
        <w:t xml:space="preserve">phased-in </w:t>
      </w:r>
      <w:r w:rsidR="00A44A58" w:rsidRPr="0061756A">
        <w:rPr>
          <w:sz w:val="24"/>
          <w:szCs w:val="24"/>
        </w:rPr>
        <w:t xml:space="preserve">implementation of </w:t>
      </w:r>
      <w:r w:rsidR="00974E33" w:rsidRPr="0061756A">
        <w:rPr>
          <w:sz w:val="24"/>
          <w:szCs w:val="24"/>
        </w:rPr>
        <w:t>the</w:t>
      </w:r>
      <w:r w:rsidR="00604AF4" w:rsidRPr="0061756A">
        <w:rPr>
          <w:sz w:val="24"/>
          <w:szCs w:val="24"/>
        </w:rPr>
        <w:t xml:space="preserve"> Data for Justice </w:t>
      </w:r>
      <w:r w:rsidR="00974E33" w:rsidRPr="0061756A">
        <w:rPr>
          <w:sz w:val="24"/>
          <w:szCs w:val="24"/>
        </w:rPr>
        <w:t>P</w:t>
      </w:r>
      <w:r w:rsidR="00604AF4" w:rsidRPr="0061756A">
        <w:rPr>
          <w:sz w:val="24"/>
          <w:szCs w:val="24"/>
        </w:rPr>
        <w:t xml:space="preserve">rogram of </w:t>
      </w:r>
      <w:r w:rsidR="00A44A58" w:rsidRPr="0061756A">
        <w:rPr>
          <w:sz w:val="24"/>
          <w:szCs w:val="24"/>
        </w:rPr>
        <w:t>1)</w:t>
      </w:r>
      <w:r w:rsidR="00CF2623" w:rsidRPr="0061756A">
        <w:rPr>
          <w:sz w:val="24"/>
          <w:szCs w:val="24"/>
        </w:rPr>
        <w:t xml:space="preserve"> developing</w:t>
      </w:r>
      <w:r w:rsidR="00A44A58" w:rsidRPr="0061756A">
        <w:rPr>
          <w:sz w:val="24"/>
          <w:szCs w:val="24"/>
        </w:rPr>
        <w:t xml:space="preserve"> learning organization practices, 2) AOC</w:t>
      </w:r>
      <w:r w:rsidR="00974E33" w:rsidRPr="0061756A">
        <w:rPr>
          <w:sz w:val="24"/>
          <w:szCs w:val="24"/>
        </w:rPr>
        <w:t xml:space="preserve"> support for courts’ information use capacity</w:t>
      </w:r>
      <w:r w:rsidR="006A5D16">
        <w:rPr>
          <w:sz w:val="24"/>
          <w:szCs w:val="24"/>
        </w:rPr>
        <w:t xml:space="preserve">, </w:t>
      </w:r>
      <w:r w:rsidR="00974E33" w:rsidRPr="0061756A">
        <w:rPr>
          <w:sz w:val="24"/>
          <w:szCs w:val="24"/>
        </w:rPr>
        <w:t>3</w:t>
      </w:r>
      <w:r w:rsidR="00A44A58" w:rsidRPr="0061756A">
        <w:rPr>
          <w:sz w:val="24"/>
          <w:szCs w:val="24"/>
        </w:rPr>
        <w:t xml:space="preserve">) </w:t>
      </w:r>
      <w:r w:rsidR="00593238" w:rsidRPr="0061756A">
        <w:rPr>
          <w:sz w:val="24"/>
          <w:szCs w:val="24"/>
        </w:rPr>
        <w:t xml:space="preserve">closing data </w:t>
      </w:r>
      <w:r w:rsidR="00A44A58" w:rsidRPr="0061756A">
        <w:rPr>
          <w:sz w:val="24"/>
          <w:szCs w:val="24"/>
        </w:rPr>
        <w:t>gaps</w:t>
      </w:r>
      <w:r w:rsidR="006A5D16">
        <w:rPr>
          <w:sz w:val="24"/>
          <w:szCs w:val="24"/>
        </w:rPr>
        <w:t>, and 4) bringing an equity lens to the process of data development</w:t>
      </w:r>
      <w:r w:rsidR="00A44A58" w:rsidRPr="0061756A">
        <w:rPr>
          <w:sz w:val="24"/>
          <w:szCs w:val="24"/>
        </w:rPr>
        <w:t xml:space="preserve">. </w:t>
      </w:r>
    </w:p>
    <w:p w14:paraId="404A585A" w14:textId="77777777" w:rsidR="00AA008C" w:rsidRPr="0061756A" w:rsidRDefault="00604AF4" w:rsidP="00265A36">
      <w:pPr>
        <w:pStyle w:val="ListParagraph"/>
        <w:numPr>
          <w:ilvl w:val="0"/>
          <w:numId w:val="4"/>
        </w:numPr>
        <w:rPr>
          <w:sz w:val="24"/>
          <w:szCs w:val="24"/>
        </w:rPr>
      </w:pPr>
      <w:r w:rsidRPr="0061756A">
        <w:rPr>
          <w:sz w:val="24"/>
          <w:szCs w:val="24"/>
          <w:u w:val="single"/>
        </w:rPr>
        <w:lastRenderedPageBreak/>
        <w:t>Learning organization practices</w:t>
      </w:r>
      <w:r w:rsidRPr="0061756A">
        <w:rPr>
          <w:sz w:val="24"/>
          <w:szCs w:val="24"/>
        </w:rPr>
        <w:t xml:space="preserve">: </w:t>
      </w:r>
      <w:r w:rsidR="00C60D31" w:rsidRPr="0061756A">
        <w:rPr>
          <w:sz w:val="24"/>
          <w:szCs w:val="24"/>
        </w:rPr>
        <w:t xml:space="preserve">Even with existing, readily available information, courts must be supported in developing internal capacity to use the information effectively. </w:t>
      </w:r>
      <w:r w:rsidR="00155F0C" w:rsidRPr="0061756A">
        <w:rPr>
          <w:sz w:val="24"/>
          <w:szCs w:val="24"/>
        </w:rPr>
        <w:t>Learning from experience, curiosity about how others are performing</w:t>
      </w:r>
      <w:r w:rsidR="0024331A" w:rsidRPr="0061756A">
        <w:rPr>
          <w:sz w:val="24"/>
          <w:szCs w:val="24"/>
        </w:rPr>
        <w:t>, and testing ideas for improvement</w:t>
      </w:r>
      <w:r w:rsidR="00155F0C" w:rsidRPr="0061756A">
        <w:rPr>
          <w:sz w:val="24"/>
          <w:szCs w:val="24"/>
        </w:rPr>
        <w:t xml:space="preserve">, are </w:t>
      </w:r>
      <w:r w:rsidR="0024331A" w:rsidRPr="0061756A">
        <w:rPr>
          <w:sz w:val="24"/>
          <w:szCs w:val="24"/>
        </w:rPr>
        <w:t>core elements of performance improvement</w:t>
      </w:r>
      <w:r w:rsidR="00155F0C" w:rsidRPr="0061756A">
        <w:rPr>
          <w:sz w:val="24"/>
          <w:szCs w:val="24"/>
        </w:rPr>
        <w:t xml:space="preserve"> and at the center of the learning organization model</w:t>
      </w:r>
      <w:r w:rsidR="0024331A" w:rsidRPr="0061756A">
        <w:rPr>
          <w:sz w:val="24"/>
          <w:szCs w:val="24"/>
        </w:rPr>
        <w:t>.</w:t>
      </w:r>
      <w:r w:rsidR="00C60D31" w:rsidRPr="0061756A">
        <w:rPr>
          <w:sz w:val="24"/>
          <w:szCs w:val="24"/>
        </w:rPr>
        <w:t xml:space="preserve"> We recommend the learning organization model because evidence indicates that it delivers results, in contrast to externally-impos</w:t>
      </w:r>
      <w:r w:rsidR="00676835" w:rsidRPr="0061756A">
        <w:rPr>
          <w:sz w:val="24"/>
          <w:szCs w:val="24"/>
        </w:rPr>
        <w:t>ed performance regimes</w:t>
      </w:r>
      <w:r w:rsidR="003D61EA" w:rsidRPr="0061756A">
        <w:rPr>
          <w:sz w:val="24"/>
          <w:szCs w:val="24"/>
        </w:rPr>
        <w:t xml:space="preserve">.  </w:t>
      </w:r>
      <w:r w:rsidR="00676835" w:rsidRPr="0061756A">
        <w:rPr>
          <w:sz w:val="24"/>
          <w:szCs w:val="24"/>
        </w:rPr>
        <w:t>Jacobsen</w:t>
      </w:r>
      <w:r w:rsidR="00C60D31" w:rsidRPr="0061756A">
        <w:rPr>
          <w:sz w:val="24"/>
          <w:szCs w:val="24"/>
        </w:rPr>
        <w:t xml:space="preserve"> et al.</w:t>
      </w:r>
      <w:r w:rsidR="003D61EA" w:rsidRPr="0061756A">
        <w:rPr>
          <w:sz w:val="24"/>
          <w:szCs w:val="24"/>
        </w:rPr>
        <w:t xml:space="preserve"> (</w:t>
      </w:r>
      <w:r w:rsidR="00C60D31" w:rsidRPr="0061756A">
        <w:rPr>
          <w:sz w:val="24"/>
          <w:szCs w:val="24"/>
        </w:rPr>
        <w:t>201</w:t>
      </w:r>
      <w:r w:rsidR="00676835" w:rsidRPr="0061756A">
        <w:rPr>
          <w:sz w:val="24"/>
          <w:szCs w:val="24"/>
        </w:rPr>
        <w:t>8</w:t>
      </w:r>
      <w:r w:rsidR="00C60D31" w:rsidRPr="0061756A">
        <w:rPr>
          <w:sz w:val="24"/>
          <w:szCs w:val="24"/>
        </w:rPr>
        <w:t>)</w:t>
      </w:r>
      <w:r w:rsidR="003D61EA" w:rsidRPr="0061756A">
        <w:rPr>
          <w:sz w:val="24"/>
          <w:szCs w:val="24"/>
        </w:rPr>
        <w:t xml:space="preserve"> suggest that local, internal learning programs promote and benefit from staff involvement in formulating and applying goals and measures</w:t>
      </w:r>
      <w:r w:rsidR="00C60D31" w:rsidRPr="0061756A">
        <w:rPr>
          <w:sz w:val="24"/>
          <w:szCs w:val="24"/>
        </w:rPr>
        <w:t xml:space="preserve">. </w:t>
      </w:r>
    </w:p>
    <w:p w14:paraId="7F2C5460" w14:textId="77777777" w:rsidR="00265A36" w:rsidRPr="0061756A" w:rsidRDefault="00265A36" w:rsidP="00265A36">
      <w:pPr>
        <w:pStyle w:val="ListParagraph"/>
        <w:rPr>
          <w:sz w:val="24"/>
          <w:szCs w:val="24"/>
        </w:rPr>
      </w:pPr>
    </w:p>
    <w:p w14:paraId="62ADE55A" w14:textId="7F82BD4C" w:rsidR="0024331A" w:rsidRPr="0061756A" w:rsidRDefault="00155F0C" w:rsidP="00265A36">
      <w:pPr>
        <w:pStyle w:val="ListParagraph"/>
        <w:rPr>
          <w:sz w:val="24"/>
          <w:szCs w:val="24"/>
        </w:rPr>
      </w:pPr>
      <w:r w:rsidRPr="0061756A">
        <w:rPr>
          <w:sz w:val="24"/>
          <w:szCs w:val="24"/>
        </w:rPr>
        <w:t>The</w:t>
      </w:r>
      <w:r w:rsidR="003D61EA" w:rsidRPr="0061756A">
        <w:rPr>
          <w:sz w:val="24"/>
          <w:szCs w:val="24"/>
        </w:rPr>
        <w:t xml:space="preserve"> learning organization</w:t>
      </w:r>
      <w:r w:rsidRPr="0061756A">
        <w:rPr>
          <w:sz w:val="24"/>
          <w:szCs w:val="24"/>
        </w:rPr>
        <w:t xml:space="preserve"> model</w:t>
      </w:r>
      <w:r w:rsidR="00CF2623" w:rsidRPr="0061756A">
        <w:rPr>
          <w:sz w:val="24"/>
          <w:szCs w:val="24"/>
        </w:rPr>
        <w:t xml:space="preserve"> originally articulated by</w:t>
      </w:r>
      <w:r w:rsidR="003D61EA" w:rsidRPr="0061756A">
        <w:rPr>
          <w:sz w:val="24"/>
          <w:szCs w:val="24"/>
        </w:rPr>
        <w:t xml:space="preserve"> </w:t>
      </w:r>
      <w:r w:rsidR="0024331A" w:rsidRPr="0061756A">
        <w:rPr>
          <w:sz w:val="24"/>
          <w:szCs w:val="24"/>
        </w:rPr>
        <w:t>Senge</w:t>
      </w:r>
      <w:r w:rsidR="00CF2623" w:rsidRPr="0061756A">
        <w:rPr>
          <w:sz w:val="24"/>
          <w:szCs w:val="24"/>
        </w:rPr>
        <w:t xml:space="preserve"> in 1990</w:t>
      </w:r>
      <w:r w:rsidR="0024331A" w:rsidRPr="0061756A">
        <w:rPr>
          <w:sz w:val="24"/>
          <w:szCs w:val="24"/>
        </w:rPr>
        <w:t xml:space="preserve"> </w:t>
      </w:r>
      <w:r w:rsidR="00C60D31" w:rsidRPr="0061756A">
        <w:rPr>
          <w:sz w:val="24"/>
          <w:szCs w:val="24"/>
        </w:rPr>
        <w:t xml:space="preserve">has </w:t>
      </w:r>
      <w:r w:rsidR="003D61EA" w:rsidRPr="0061756A">
        <w:rPr>
          <w:sz w:val="24"/>
          <w:szCs w:val="24"/>
        </w:rPr>
        <w:t xml:space="preserve">since </w:t>
      </w:r>
      <w:r w:rsidR="00C60D31" w:rsidRPr="0061756A">
        <w:rPr>
          <w:sz w:val="24"/>
          <w:szCs w:val="24"/>
        </w:rPr>
        <w:t>been</w:t>
      </w:r>
      <w:r w:rsidR="0024331A" w:rsidRPr="0061756A">
        <w:rPr>
          <w:sz w:val="24"/>
          <w:szCs w:val="24"/>
        </w:rPr>
        <w:t xml:space="preserve"> </w:t>
      </w:r>
      <w:r w:rsidR="003D61EA" w:rsidRPr="0061756A">
        <w:rPr>
          <w:sz w:val="24"/>
          <w:szCs w:val="24"/>
        </w:rPr>
        <w:t>validated</w:t>
      </w:r>
      <w:r w:rsidR="005A4A9A" w:rsidRPr="0061756A">
        <w:rPr>
          <w:sz w:val="24"/>
          <w:szCs w:val="24"/>
        </w:rPr>
        <w:t xml:space="preserve"> and refined. Singer</w:t>
      </w:r>
      <w:r w:rsidRPr="0061756A">
        <w:rPr>
          <w:sz w:val="24"/>
          <w:szCs w:val="24"/>
        </w:rPr>
        <w:t xml:space="preserve"> (2012)</w:t>
      </w:r>
      <w:r w:rsidR="005A4A9A" w:rsidRPr="0061756A">
        <w:rPr>
          <w:sz w:val="24"/>
          <w:szCs w:val="24"/>
        </w:rPr>
        <w:t xml:space="preserve"> </w:t>
      </w:r>
      <w:r w:rsidRPr="0061756A">
        <w:rPr>
          <w:sz w:val="24"/>
          <w:szCs w:val="24"/>
        </w:rPr>
        <w:t>and colleagues’</w:t>
      </w:r>
      <w:r w:rsidR="005A4A9A" w:rsidRPr="0061756A">
        <w:rPr>
          <w:sz w:val="24"/>
          <w:szCs w:val="24"/>
        </w:rPr>
        <w:t xml:space="preserve"> </w:t>
      </w:r>
      <w:r w:rsidRPr="0061756A">
        <w:rPr>
          <w:sz w:val="24"/>
          <w:szCs w:val="24"/>
        </w:rPr>
        <w:t xml:space="preserve">learning </w:t>
      </w:r>
      <w:r w:rsidR="005A4A9A" w:rsidRPr="0061756A">
        <w:rPr>
          <w:sz w:val="24"/>
          <w:szCs w:val="24"/>
        </w:rPr>
        <w:t>organization assessment</w:t>
      </w:r>
      <w:r w:rsidRPr="0061756A">
        <w:rPr>
          <w:sz w:val="24"/>
          <w:szCs w:val="24"/>
        </w:rPr>
        <w:t xml:space="preserve"> instrument</w:t>
      </w:r>
      <w:r w:rsidR="005A4A9A" w:rsidRPr="0061756A">
        <w:rPr>
          <w:sz w:val="24"/>
          <w:szCs w:val="24"/>
        </w:rPr>
        <w:t xml:space="preserve"> </w:t>
      </w:r>
      <w:r w:rsidRPr="0061756A">
        <w:rPr>
          <w:sz w:val="24"/>
          <w:szCs w:val="24"/>
        </w:rPr>
        <w:t>measures seven</w:t>
      </w:r>
      <w:r w:rsidR="005A4A9A" w:rsidRPr="0061756A">
        <w:rPr>
          <w:sz w:val="24"/>
          <w:szCs w:val="24"/>
        </w:rPr>
        <w:t xml:space="preserve"> </w:t>
      </w:r>
      <w:r w:rsidRPr="0061756A">
        <w:rPr>
          <w:sz w:val="24"/>
          <w:szCs w:val="24"/>
        </w:rPr>
        <w:t xml:space="preserve">distinct </w:t>
      </w:r>
      <w:r w:rsidR="005A4A9A" w:rsidRPr="0061756A">
        <w:rPr>
          <w:sz w:val="24"/>
          <w:szCs w:val="24"/>
        </w:rPr>
        <w:lastRenderedPageBreak/>
        <w:t>learning organization</w:t>
      </w:r>
      <w:r w:rsidRPr="0061756A">
        <w:rPr>
          <w:sz w:val="24"/>
          <w:szCs w:val="24"/>
        </w:rPr>
        <w:t xml:space="preserve"> components</w:t>
      </w:r>
      <w:r w:rsidR="003D61EA" w:rsidRPr="0061756A">
        <w:rPr>
          <w:sz w:val="24"/>
          <w:szCs w:val="24"/>
        </w:rPr>
        <w:t xml:space="preserve"> (sample indicators in parentheses)</w:t>
      </w:r>
      <w:r w:rsidR="005A4A9A" w:rsidRPr="0061756A">
        <w:rPr>
          <w:sz w:val="24"/>
          <w:szCs w:val="24"/>
        </w:rPr>
        <w:t>:</w:t>
      </w:r>
    </w:p>
    <w:p w14:paraId="44449EE9" w14:textId="77777777" w:rsidR="00265A36" w:rsidRPr="0061756A" w:rsidRDefault="00265A36" w:rsidP="00265A36">
      <w:pPr>
        <w:pStyle w:val="ListParagraph"/>
        <w:rPr>
          <w:sz w:val="24"/>
          <w:szCs w:val="24"/>
        </w:rPr>
      </w:pPr>
    </w:p>
    <w:p w14:paraId="17913C18" w14:textId="77777777" w:rsidR="0024331A" w:rsidRPr="0061756A" w:rsidRDefault="0024331A" w:rsidP="0024331A">
      <w:pPr>
        <w:pStyle w:val="ListParagraph"/>
        <w:numPr>
          <w:ilvl w:val="0"/>
          <w:numId w:val="1"/>
        </w:numPr>
        <w:rPr>
          <w:sz w:val="24"/>
          <w:szCs w:val="24"/>
        </w:rPr>
      </w:pPr>
      <w:r w:rsidRPr="0061756A">
        <w:rPr>
          <w:sz w:val="24"/>
          <w:szCs w:val="24"/>
        </w:rPr>
        <w:t>A supportive learning environment (“In my section, people value new ideas”)</w:t>
      </w:r>
      <w:r w:rsidR="003D61EA" w:rsidRPr="0061756A">
        <w:rPr>
          <w:sz w:val="24"/>
          <w:szCs w:val="24"/>
        </w:rPr>
        <w:t>.</w:t>
      </w:r>
    </w:p>
    <w:p w14:paraId="39BB2A54" w14:textId="77777777" w:rsidR="0024331A" w:rsidRPr="0061756A" w:rsidRDefault="0024331A" w:rsidP="0024331A">
      <w:pPr>
        <w:pStyle w:val="ListParagraph"/>
        <w:numPr>
          <w:ilvl w:val="0"/>
          <w:numId w:val="1"/>
        </w:numPr>
        <w:rPr>
          <w:sz w:val="24"/>
          <w:szCs w:val="24"/>
        </w:rPr>
      </w:pPr>
      <w:r w:rsidRPr="0061756A">
        <w:rPr>
          <w:sz w:val="24"/>
          <w:szCs w:val="24"/>
        </w:rPr>
        <w:t>Leadership that reinforces learning (“Leadership establishes forums and provides time and resources for reflecting and improving on past performance”)</w:t>
      </w:r>
      <w:r w:rsidR="003D61EA" w:rsidRPr="0061756A">
        <w:rPr>
          <w:sz w:val="24"/>
          <w:szCs w:val="24"/>
        </w:rPr>
        <w:t>.</w:t>
      </w:r>
    </w:p>
    <w:p w14:paraId="5C53A88A" w14:textId="77777777" w:rsidR="0024331A" w:rsidRPr="0061756A" w:rsidRDefault="0024331A" w:rsidP="0024331A">
      <w:pPr>
        <w:pStyle w:val="ListParagraph"/>
        <w:numPr>
          <w:ilvl w:val="0"/>
          <w:numId w:val="1"/>
        </w:numPr>
        <w:rPr>
          <w:sz w:val="24"/>
          <w:szCs w:val="24"/>
        </w:rPr>
      </w:pPr>
      <w:r w:rsidRPr="0061756A">
        <w:rPr>
          <w:sz w:val="24"/>
          <w:szCs w:val="24"/>
        </w:rPr>
        <w:t>Experimentation (“My section experiments frequently with new ways of doing things”)</w:t>
      </w:r>
      <w:r w:rsidR="003D61EA" w:rsidRPr="0061756A">
        <w:rPr>
          <w:sz w:val="24"/>
          <w:szCs w:val="24"/>
        </w:rPr>
        <w:t>.</w:t>
      </w:r>
    </w:p>
    <w:p w14:paraId="10758FAD" w14:textId="77777777" w:rsidR="0024331A" w:rsidRPr="0061756A" w:rsidRDefault="0024331A" w:rsidP="0024331A">
      <w:pPr>
        <w:pStyle w:val="ListParagraph"/>
        <w:numPr>
          <w:ilvl w:val="0"/>
          <w:numId w:val="1"/>
        </w:numPr>
        <w:rPr>
          <w:sz w:val="24"/>
          <w:szCs w:val="24"/>
        </w:rPr>
      </w:pPr>
      <w:r w:rsidRPr="0061756A">
        <w:rPr>
          <w:sz w:val="24"/>
          <w:szCs w:val="24"/>
        </w:rPr>
        <w:t>Training (“Experienced staff in my section receive training when shifting to new responsibilities”)</w:t>
      </w:r>
      <w:r w:rsidR="003D61EA" w:rsidRPr="0061756A">
        <w:rPr>
          <w:sz w:val="24"/>
          <w:szCs w:val="24"/>
        </w:rPr>
        <w:t>.</w:t>
      </w:r>
    </w:p>
    <w:p w14:paraId="091595A6" w14:textId="77777777" w:rsidR="006B33B2" w:rsidRPr="0061756A" w:rsidRDefault="006B33B2" w:rsidP="0024331A">
      <w:pPr>
        <w:pStyle w:val="ListParagraph"/>
        <w:numPr>
          <w:ilvl w:val="0"/>
          <w:numId w:val="1"/>
        </w:numPr>
        <w:rPr>
          <w:sz w:val="24"/>
          <w:szCs w:val="24"/>
        </w:rPr>
      </w:pPr>
      <w:r w:rsidRPr="0061756A">
        <w:rPr>
          <w:sz w:val="24"/>
          <w:szCs w:val="24"/>
        </w:rPr>
        <w:t>Knowledge acquisition (“We have forums for meeting with and learning from expert</w:t>
      </w:r>
      <w:r w:rsidR="003D61EA" w:rsidRPr="0061756A">
        <w:rPr>
          <w:sz w:val="24"/>
          <w:szCs w:val="24"/>
        </w:rPr>
        <w:t>s from outside our organization</w:t>
      </w:r>
      <w:r w:rsidRPr="0061756A">
        <w:rPr>
          <w:sz w:val="24"/>
          <w:szCs w:val="24"/>
        </w:rPr>
        <w:t>”)</w:t>
      </w:r>
      <w:r w:rsidR="003D61EA" w:rsidRPr="0061756A">
        <w:rPr>
          <w:sz w:val="24"/>
          <w:szCs w:val="24"/>
        </w:rPr>
        <w:t>.</w:t>
      </w:r>
    </w:p>
    <w:p w14:paraId="1C1AC4D1" w14:textId="77777777" w:rsidR="006B33B2" w:rsidRPr="0061756A" w:rsidRDefault="006B33B2" w:rsidP="0024331A">
      <w:pPr>
        <w:pStyle w:val="ListParagraph"/>
        <w:numPr>
          <w:ilvl w:val="0"/>
          <w:numId w:val="1"/>
        </w:numPr>
        <w:rPr>
          <w:sz w:val="24"/>
          <w:szCs w:val="24"/>
        </w:rPr>
      </w:pPr>
      <w:r w:rsidRPr="0061756A">
        <w:rPr>
          <w:sz w:val="24"/>
          <w:szCs w:val="24"/>
        </w:rPr>
        <w:t xml:space="preserve">Time for reflection (“Leadership provide time and space for us to think and talk about what we </w:t>
      </w:r>
      <w:r w:rsidRPr="0061756A">
        <w:rPr>
          <w:sz w:val="24"/>
          <w:szCs w:val="24"/>
        </w:rPr>
        <w:lastRenderedPageBreak/>
        <w:t>see and what our performance indicators show”)</w:t>
      </w:r>
      <w:r w:rsidR="003D61EA" w:rsidRPr="0061756A">
        <w:rPr>
          <w:sz w:val="24"/>
          <w:szCs w:val="24"/>
        </w:rPr>
        <w:t>.</w:t>
      </w:r>
    </w:p>
    <w:p w14:paraId="49FD52A7" w14:textId="77777777" w:rsidR="006B33B2" w:rsidRPr="0061756A" w:rsidRDefault="006B33B2" w:rsidP="0024331A">
      <w:pPr>
        <w:pStyle w:val="ListParagraph"/>
        <w:numPr>
          <w:ilvl w:val="0"/>
          <w:numId w:val="1"/>
        </w:numPr>
        <w:rPr>
          <w:sz w:val="24"/>
          <w:szCs w:val="24"/>
        </w:rPr>
      </w:pPr>
      <w:r w:rsidRPr="0061756A">
        <w:rPr>
          <w:sz w:val="24"/>
          <w:szCs w:val="24"/>
        </w:rPr>
        <w:t xml:space="preserve">Performance monitoring (“We regularly compare our performance with the </w:t>
      </w:r>
      <w:r w:rsidR="003D61EA" w:rsidRPr="0061756A">
        <w:rPr>
          <w:sz w:val="24"/>
          <w:szCs w:val="24"/>
        </w:rPr>
        <w:t>sites with the best performance</w:t>
      </w:r>
      <w:r w:rsidRPr="0061756A">
        <w:rPr>
          <w:sz w:val="24"/>
          <w:szCs w:val="24"/>
        </w:rPr>
        <w:t>”)</w:t>
      </w:r>
      <w:r w:rsidR="003D61EA" w:rsidRPr="0061756A">
        <w:rPr>
          <w:sz w:val="24"/>
          <w:szCs w:val="24"/>
        </w:rPr>
        <w:t>.</w:t>
      </w:r>
    </w:p>
    <w:p w14:paraId="1658AA83" w14:textId="77777777" w:rsidR="00265A36" w:rsidRPr="0061756A" w:rsidRDefault="00265A36" w:rsidP="00265A36">
      <w:pPr>
        <w:pStyle w:val="ListParagraph"/>
        <w:ind w:left="1440"/>
        <w:rPr>
          <w:sz w:val="24"/>
          <w:szCs w:val="24"/>
        </w:rPr>
      </w:pPr>
    </w:p>
    <w:p w14:paraId="40E96E5A" w14:textId="0BEB0CA4" w:rsidR="000F1669" w:rsidRPr="0061756A" w:rsidRDefault="007B2D2E" w:rsidP="000F1669">
      <w:pPr>
        <w:pStyle w:val="ListParagraph"/>
        <w:rPr>
          <w:sz w:val="24"/>
          <w:szCs w:val="24"/>
        </w:rPr>
      </w:pPr>
      <w:r w:rsidRPr="0061756A">
        <w:rPr>
          <w:sz w:val="24"/>
          <w:szCs w:val="24"/>
        </w:rPr>
        <w:t>The learning organization model has been applied in several fields.</w:t>
      </w:r>
      <w:r w:rsidR="00007BED" w:rsidRPr="0061756A">
        <w:rPr>
          <w:sz w:val="24"/>
          <w:szCs w:val="24"/>
        </w:rPr>
        <w:t xml:space="preserve"> For example, i</w:t>
      </w:r>
      <w:r w:rsidR="0049640B" w:rsidRPr="0061756A">
        <w:rPr>
          <w:sz w:val="24"/>
          <w:szCs w:val="24"/>
        </w:rPr>
        <w:t>n the private sector application of learning organization principles conne</w:t>
      </w:r>
      <w:r w:rsidR="00007BED" w:rsidRPr="0061756A">
        <w:rPr>
          <w:sz w:val="24"/>
          <w:szCs w:val="24"/>
        </w:rPr>
        <w:t>cts to higher profits (</w:t>
      </w:r>
      <w:proofErr w:type="spellStart"/>
      <w:r w:rsidR="00007BED" w:rsidRPr="0061756A">
        <w:rPr>
          <w:sz w:val="24"/>
          <w:szCs w:val="24"/>
        </w:rPr>
        <w:t>Ellinger</w:t>
      </w:r>
      <w:proofErr w:type="spellEnd"/>
      <w:r w:rsidR="00912E6F">
        <w:rPr>
          <w:sz w:val="24"/>
          <w:szCs w:val="24"/>
        </w:rPr>
        <w:t xml:space="preserve"> et al.;</w:t>
      </w:r>
      <w:r w:rsidR="00220E3D" w:rsidRPr="0061756A">
        <w:rPr>
          <w:sz w:val="24"/>
          <w:szCs w:val="24"/>
        </w:rPr>
        <w:t xml:space="preserve"> Song and Kolb</w:t>
      </w:r>
      <w:r w:rsidR="0049640B" w:rsidRPr="0061756A">
        <w:rPr>
          <w:sz w:val="24"/>
          <w:szCs w:val="24"/>
        </w:rPr>
        <w:t xml:space="preserve">); </w:t>
      </w:r>
      <w:r w:rsidR="00220E3D" w:rsidRPr="0061756A">
        <w:rPr>
          <w:sz w:val="24"/>
          <w:szCs w:val="24"/>
        </w:rPr>
        <w:t xml:space="preserve">and </w:t>
      </w:r>
      <w:r w:rsidR="0049640B" w:rsidRPr="0061756A">
        <w:rPr>
          <w:sz w:val="24"/>
          <w:szCs w:val="24"/>
        </w:rPr>
        <w:t>i</w:t>
      </w:r>
      <w:r w:rsidRPr="0061756A">
        <w:rPr>
          <w:sz w:val="24"/>
          <w:szCs w:val="24"/>
        </w:rPr>
        <w:t xml:space="preserve">n nursing </w:t>
      </w:r>
      <w:r w:rsidR="00CF2623" w:rsidRPr="0061756A">
        <w:rPr>
          <w:sz w:val="24"/>
          <w:szCs w:val="24"/>
        </w:rPr>
        <w:t xml:space="preserve">it has been linked </w:t>
      </w:r>
      <w:r w:rsidR="00220E3D" w:rsidRPr="0061756A">
        <w:rPr>
          <w:sz w:val="24"/>
          <w:szCs w:val="24"/>
        </w:rPr>
        <w:t>to</w:t>
      </w:r>
      <w:r w:rsidRPr="0061756A">
        <w:rPr>
          <w:sz w:val="24"/>
          <w:szCs w:val="24"/>
        </w:rPr>
        <w:t xml:space="preserve"> shared vision and team learning that, in turn, are associated with better patient outcomes (Jeong et al.)</w:t>
      </w:r>
      <w:r w:rsidR="0049640B" w:rsidRPr="0061756A">
        <w:rPr>
          <w:sz w:val="24"/>
          <w:szCs w:val="24"/>
        </w:rPr>
        <w:t xml:space="preserve"> And in court-based evidence-based practices, routine review of process and results is strongly connected to better results in drug courts; this drug court reliance on “experimentalism” has been held up as an example of how to improve public sector performance more generally (Dorf and Sabel).</w:t>
      </w:r>
    </w:p>
    <w:p w14:paraId="185266F2" w14:textId="77777777" w:rsidR="00265A36" w:rsidRPr="0061756A" w:rsidRDefault="00265A36" w:rsidP="00265A36">
      <w:pPr>
        <w:pStyle w:val="ListParagraph"/>
        <w:rPr>
          <w:sz w:val="24"/>
          <w:szCs w:val="24"/>
        </w:rPr>
      </w:pPr>
    </w:p>
    <w:p w14:paraId="2C442024" w14:textId="2219347B" w:rsidR="00265A36" w:rsidRPr="0061756A" w:rsidRDefault="000F796C" w:rsidP="00265A36">
      <w:pPr>
        <w:pStyle w:val="ListParagraph"/>
        <w:numPr>
          <w:ilvl w:val="0"/>
          <w:numId w:val="4"/>
        </w:numPr>
        <w:rPr>
          <w:sz w:val="24"/>
          <w:szCs w:val="24"/>
        </w:rPr>
      </w:pPr>
      <w:r w:rsidRPr="0061756A">
        <w:rPr>
          <w:sz w:val="24"/>
          <w:szCs w:val="24"/>
          <w:u w:val="single"/>
        </w:rPr>
        <w:t>AOC support for courts’ information use capacity</w:t>
      </w:r>
      <w:r w:rsidRPr="0061756A">
        <w:rPr>
          <w:sz w:val="24"/>
          <w:szCs w:val="24"/>
        </w:rPr>
        <w:t>:</w:t>
      </w:r>
      <w:r w:rsidR="00974E33" w:rsidRPr="0061756A">
        <w:rPr>
          <w:sz w:val="24"/>
          <w:szCs w:val="24"/>
        </w:rPr>
        <w:t xml:space="preserve"> </w:t>
      </w:r>
      <w:r w:rsidR="00265A36" w:rsidRPr="0061756A">
        <w:rPr>
          <w:sz w:val="24"/>
          <w:szCs w:val="24"/>
        </w:rPr>
        <w:t>The AOC is the central entity tasked with supporting courts with education, tra</w:t>
      </w:r>
      <w:r w:rsidR="00912E6F">
        <w:rPr>
          <w:sz w:val="24"/>
          <w:szCs w:val="24"/>
        </w:rPr>
        <w:t>ining, technical assistance,</w:t>
      </w:r>
      <w:r w:rsidR="00265A36" w:rsidRPr="0061756A">
        <w:rPr>
          <w:sz w:val="24"/>
          <w:szCs w:val="24"/>
        </w:rPr>
        <w:t xml:space="preserve"> translation of research for practitioners and court-led development of program performance indicators and reporting. The problem is that limited resources have only enabled this to happen in juvenile justice and child welfare</w:t>
      </w:r>
      <w:r w:rsidR="00ED459F" w:rsidRPr="0061756A">
        <w:rPr>
          <w:sz w:val="24"/>
          <w:szCs w:val="24"/>
        </w:rPr>
        <w:t xml:space="preserve"> and even there funding for training and technical assistance falls short of the need</w:t>
      </w:r>
      <w:r w:rsidR="00265A36" w:rsidRPr="0061756A">
        <w:rPr>
          <w:sz w:val="24"/>
          <w:szCs w:val="24"/>
        </w:rPr>
        <w:t>. Additional funding from the legislature in 2020 was provided that will enable an expansion of Data for Justice</w:t>
      </w:r>
      <w:r w:rsidR="00912E6F">
        <w:rPr>
          <w:sz w:val="24"/>
          <w:szCs w:val="24"/>
        </w:rPr>
        <w:t xml:space="preserve"> practices</w:t>
      </w:r>
      <w:r w:rsidR="00265A36" w:rsidRPr="0061756A">
        <w:rPr>
          <w:sz w:val="24"/>
          <w:szCs w:val="24"/>
        </w:rPr>
        <w:t xml:space="preserve"> in supporting Behavioral Health/Therapeutic Courts and Equity and Access</w:t>
      </w:r>
      <w:r w:rsidR="00ED459F" w:rsidRPr="0061756A">
        <w:rPr>
          <w:sz w:val="24"/>
          <w:szCs w:val="24"/>
        </w:rPr>
        <w:t>, but that is temporary funding, scheduled to expire in June, 2023</w:t>
      </w:r>
      <w:r w:rsidR="00265A36" w:rsidRPr="0061756A">
        <w:rPr>
          <w:sz w:val="24"/>
          <w:szCs w:val="24"/>
        </w:rPr>
        <w:t>.</w:t>
      </w:r>
      <w:r w:rsidR="00ED459F" w:rsidRPr="0061756A">
        <w:rPr>
          <w:sz w:val="24"/>
          <w:szCs w:val="24"/>
        </w:rPr>
        <w:t xml:space="preserve"> In general, current funding must be increased for any enduring support to be offered with criminal matters and any civil matters beyond dependency, areas for which there is no dedicated support for data-driven decision making.</w:t>
      </w:r>
      <w:r w:rsidR="00265A36" w:rsidRPr="0061756A">
        <w:rPr>
          <w:sz w:val="24"/>
          <w:szCs w:val="24"/>
        </w:rPr>
        <w:t xml:space="preserve"> </w:t>
      </w:r>
    </w:p>
    <w:p w14:paraId="562D39AB" w14:textId="77777777" w:rsidR="000F1669" w:rsidRPr="0061756A" w:rsidRDefault="000F1669" w:rsidP="000F1669">
      <w:pPr>
        <w:pStyle w:val="ListParagraph"/>
        <w:rPr>
          <w:sz w:val="24"/>
          <w:szCs w:val="24"/>
        </w:rPr>
      </w:pPr>
    </w:p>
    <w:p w14:paraId="1105475C" w14:textId="73ABC41D" w:rsidR="00265A36" w:rsidRPr="0061756A" w:rsidRDefault="00265A36" w:rsidP="00265A36">
      <w:pPr>
        <w:pStyle w:val="ListParagraph"/>
        <w:numPr>
          <w:ilvl w:val="0"/>
          <w:numId w:val="4"/>
        </w:numPr>
        <w:rPr>
          <w:sz w:val="24"/>
          <w:szCs w:val="24"/>
        </w:rPr>
      </w:pPr>
      <w:r w:rsidRPr="0061756A">
        <w:rPr>
          <w:sz w:val="24"/>
          <w:szCs w:val="24"/>
          <w:u w:val="single"/>
        </w:rPr>
        <w:t xml:space="preserve">Closing data </w:t>
      </w:r>
      <w:r w:rsidR="006B5097" w:rsidRPr="0061756A">
        <w:rPr>
          <w:sz w:val="24"/>
          <w:szCs w:val="24"/>
          <w:u w:val="single"/>
        </w:rPr>
        <w:t xml:space="preserve">and information </w:t>
      </w:r>
      <w:r w:rsidRPr="0061756A">
        <w:rPr>
          <w:sz w:val="24"/>
          <w:szCs w:val="24"/>
          <w:u w:val="single"/>
        </w:rPr>
        <w:t>gaps</w:t>
      </w:r>
      <w:r w:rsidRPr="0061756A">
        <w:rPr>
          <w:sz w:val="24"/>
          <w:szCs w:val="24"/>
        </w:rPr>
        <w:t>: Data and other forms of evidence fill distinct but related roles. First, data about individuals who are court-involved informs system responses to them, as individuals. Second, court-level data about those who are involved with that court, their characteristic and outcomes, can reflect back to that court information about the appropriateness and impact of court actions. Often, local court-level data is also used in the local design of behavioral interventions, such as the juvenile court-developed evidence-based practice, Education and Employment Training. Local court-level data can, and should, be made available to affected communities, as they comprise the people served by the courts and justice system. Third, data from across courts can be used at the state level to inform policy responses to the status quo and to assess the impact</w:t>
      </w:r>
      <w:r w:rsidR="00C76410">
        <w:rPr>
          <w:sz w:val="24"/>
          <w:szCs w:val="24"/>
        </w:rPr>
        <w:t>s</w:t>
      </w:r>
      <w:r w:rsidRPr="0061756A">
        <w:rPr>
          <w:sz w:val="24"/>
          <w:szCs w:val="24"/>
        </w:rPr>
        <w:t xml:space="preserve"> of policy, program, and practice innovations.</w:t>
      </w:r>
    </w:p>
    <w:p w14:paraId="128F4EF2" w14:textId="77777777" w:rsidR="000F796C" w:rsidRPr="0061756A" w:rsidRDefault="000F796C" w:rsidP="00265A36">
      <w:pPr>
        <w:pStyle w:val="ListParagraph"/>
        <w:rPr>
          <w:sz w:val="24"/>
          <w:szCs w:val="24"/>
        </w:rPr>
      </w:pPr>
    </w:p>
    <w:p w14:paraId="1ED44812" w14:textId="77777777" w:rsidR="001A671C" w:rsidRPr="0061756A" w:rsidRDefault="00995F1A" w:rsidP="00265A36">
      <w:pPr>
        <w:pStyle w:val="ListParagraph"/>
        <w:rPr>
          <w:sz w:val="24"/>
          <w:szCs w:val="24"/>
        </w:rPr>
      </w:pPr>
      <w:r w:rsidRPr="0061756A">
        <w:rPr>
          <w:sz w:val="24"/>
          <w:szCs w:val="24"/>
        </w:rPr>
        <w:t xml:space="preserve">Data silos must also be identified and remedied. For example, when data about the size and characteristics of the jail population is separate from local court information about pretrial, it becomes impossible to understand in detail the consequences of decisions about detention, bail, and release on personal recognizance. Even when jail and court data are connected locally, as with </w:t>
      </w:r>
      <w:r w:rsidR="001A671C" w:rsidRPr="0061756A">
        <w:rPr>
          <w:sz w:val="24"/>
          <w:szCs w:val="24"/>
        </w:rPr>
        <w:t>Pierce County’s integrated court and jail data in the Legal Information Network Exchange (</w:t>
      </w:r>
      <w:hyperlink r:id="rId8" w:history="1">
        <w:r w:rsidR="001A671C" w:rsidRPr="0061756A">
          <w:rPr>
            <w:sz w:val="24"/>
            <w:szCs w:val="24"/>
          </w:rPr>
          <w:t>LINX</w:t>
        </w:r>
      </w:hyperlink>
      <w:r w:rsidRPr="0061756A">
        <w:rPr>
          <w:sz w:val="24"/>
          <w:szCs w:val="24"/>
        </w:rPr>
        <w:t>),</w:t>
      </w:r>
      <w:r w:rsidR="00E80361" w:rsidRPr="0061756A">
        <w:rPr>
          <w:sz w:val="24"/>
          <w:szCs w:val="24"/>
        </w:rPr>
        <w:t xml:space="preserve"> such integrated data is an exception, and the statewide use of detention in pretrial cannot be accurately stated.</w:t>
      </w:r>
      <w:r w:rsidRPr="0061756A">
        <w:rPr>
          <w:sz w:val="24"/>
          <w:szCs w:val="24"/>
        </w:rPr>
        <w:t xml:space="preserve"> </w:t>
      </w:r>
    </w:p>
    <w:p w14:paraId="50DDB02E" w14:textId="77777777" w:rsidR="00265A36" w:rsidRPr="0061756A" w:rsidRDefault="00265A36" w:rsidP="00265A36">
      <w:pPr>
        <w:pStyle w:val="ListParagraph"/>
        <w:rPr>
          <w:sz w:val="24"/>
          <w:szCs w:val="24"/>
        </w:rPr>
      </w:pPr>
    </w:p>
    <w:p w14:paraId="63BCC627" w14:textId="53C03CFE" w:rsidR="001A671C" w:rsidRPr="0061756A" w:rsidRDefault="00E80361" w:rsidP="00265A36">
      <w:pPr>
        <w:pStyle w:val="ListParagraph"/>
        <w:rPr>
          <w:sz w:val="24"/>
          <w:szCs w:val="24"/>
        </w:rPr>
      </w:pPr>
      <w:r w:rsidRPr="0061756A">
        <w:rPr>
          <w:sz w:val="24"/>
          <w:szCs w:val="24"/>
        </w:rPr>
        <w:t xml:space="preserve">Recognizing the problems of data silos, </w:t>
      </w:r>
      <w:r w:rsidR="001A671C" w:rsidRPr="0061756A">
        <w:rPr>
          <w:sz w:val="24"/>
          <w:szCs w:val="24"/>
        </w:rPr>
        <w:t>Snohomish County</w:t>
      </w:r>
      <w:r w:rsidRPr="0061756A">
        <w:rPr>
          <w:sz w:val="24"/>
          <w:szCs w:val="24"/>
        </w:rPr>
        <w:t xml:space="preserve"> has provided</w:t>
      </w:r>
      <w:r w:rsidR="001A671C" w:rsidRPr="0061756A">
        <w:rPr>
          <w:sz w:val="24"/>
          <w:szCs w:val="24"/>
        </w:rPr>
        <w:t xml:space="preserve"> funding for linking data from law enforcement, the prosecutor’s office, and courts to assess disproportionality across the county’s justice system.</w:t>
      </w:r>
      <w:r w:rsidRPr="0061756A">
        <w:rPr>
          <w:sz w:val="24"/>
          <w:szCs w:val="24"/>
        </w:rPr>
        <w:t xml:space="preserve"> The Snohomish example should be assessed and </w:t>
      </w:r>
      <w:r w:rsidR="00C76410">
        <w:rPr>
          <w:sz w:val="24"/>
          <w:szCs w:val="24"/>
        </w:rPr>
        <w:lastRenderedPageBreak/>
        <w:t xml:space="preserve">considered for expansion </w:t>
      </w:r>
      <w:r w:rsidRPr="0061756A">
        <w:rPr>
          <w:sz w:val="24"/>
          <w:szCs w:val="24"/>
        </w:rPr>
        <w:t>to cover all court jurisdictions.</w:t>
      </w:r>
    </w:p>
    <w:p w14:paraId="5C0AA028" w14:textId="77777777" w:rsidR="00265A36" w:rsidRPr="0061756A" w:rsidRDefault="00265A36" w:rsidP="00265A36">
      <w:pPr>
        <w:pStyle w:val="ListParagraph"/>
        <w:rPr>
          <w:sz w:val="24"/>
          <w:szCs w:val="24"/>
        </w:rPr>
      </w:pPr>
    </w:p>
    <w:p w14:paraId="1EAEFE24" w14:textId="10F0C3FA" w:rsidR="001A671C" w:rsidRPr="0061756A" w:rsidRDefault="001A671C" w:rsidP="00265A36">
      <w:pPr>
        <w:pStyle w:val="ListParagraph"/>
        <w:rPr>
          <w:sz w:val="24"/>
          <w:szCs w:val="24"/>
        </w:rPr>
      </w:pPr>
      <w:r w:rsidRPr="0061756A">
        <w:rPr>
          <w:sz w:val="24"/>
          <w:szCs w:val="24"/>
        </w:rPr>
        <w:t>Other sources of evidence to support decisions include professional associations that serve as learning communities, research that has been translated for practitioners, and inclusive program reviews with diverse representation from different professionals routinely involved with court (prosecutors, defenders, and treatment providers) and members of the public</w:t>
      </w:r>
      <w:r w:rsidR="00C76410">
        <w:rPr>
          <w:sz w:val="24"/>
          <w:szCs w:val="24"/>
        </w:rPr>
        <w:t xml:space="preserve"> with lived expertise</w:t>
      </w:r>
      <w:r w:rsidRPr="0061756A">
        <w:rPr>
          <w:sz w:val="24"/>
          <w:szCs w:val="24"/>
        </w:rPr>
        <w:t xml:space="preserve"> who have matters before the courts.</w:t>
      </w:r>
    </w:p>
    <w:p w14:paraId="57866EE7" w14:textId="3C6A6B86" w:rsidR="006B5097" w:rsidRPr="0061756A" w:rsidRDefault="006B5097" w:rsidP="00265A36">
      <w:pPr>
        <w:pStyle w:val="ListParagraph"/>
        <w:rPr>
          <w:sz w:val="24"/>
          <w:szCs w:val="24"/>
        </w:rPr>
      </w:pPr>
    </w:p>
    <w:p w14:paraId="4A7896CF" w14:textId="0B5F0A61" w:rsidR="006B5097" w:rsidRDefault="006B5097" w:rsidP="0061756A">
      <w:pPr>
        <w:pStyle w:val="ListParagraph"/>
        <w:numPr>
          <w:ilvl w:val="0"/>
          <w:numId w:val="4"/>
        </w:numPr>
        <w:spacing w:after="0"/>
        <w:rPr>
          <w:sz w:val="24"/>
          <w:szCs w:val="24"/>
        </w:rPr>
      </w:pPr>
      <w:r w:rsidRPr="0061756A">
        <w:rPr>
          <w:sz w:val="24"/>
          <w:szCs w:val="24"/>
          <w:u w:val="single"/>
        </w:rPr>
        <w:t>Data through the Equity Lens</w:t>
      </w:r>
      <w:r w:rsidRPr="0061756A">
        <w:rPr>
          <w:sz w:val="24"/>
          <w:szCs w:val="24"/>
        </w:rPr>
        <w:t xml:space="preserve">: There are many things to consider when looking at data through the equity lens. The categories below are merely a starting point: </w:t>
      </w:r>
    </w:p>
    <w:p w14:paraId="7E219422" w14:textId="77777777" w:rsidR="0061756A" w:rsidRPr="0061756A" w:rsidRDefault="0061756A" w:rsidP="0061756A">
      <w:pPr>
        <w:pStyle w:val="ListParagraph"/>
        <w:spacing w:after="0"/>
        <w:rPr>
          <w:sz w:val="24"/>
          <w:szCs w:val="24"/>
        </w:rPr>
      </w:pPr>
    </w:p>
    <w:p w14:paraId="09A766B9" w14:textId="242B307D" w:rsidR="006B5097" w:rsidRPr="0061756A" w:rsidRDefault="006B5097" w:rsidP="00ED723B">
      <w:pPr>
        <w:pStyle w:val="ListParagraph"/>
        <w:numPr>
          <w:ilvl w:val="1"/>
          <w:numId w:val="8"/>
        </w:numPr>
        <w:spacing w:line="240" w:lineRule="auto"/>
        <w:rPr>
          <w:sz w:val="24"/>
          <w:szCs w:val="24"/>
        </w:rPr>
      </w:pPr>
      <w:r w:rsidRPr="0061756A">
        <w:rPr>
          <w:sz w:val="24"/>
          <w:szCs w:val="24"/>
        </w:rPr>
        <w:lastRenderedPageBreak/>
        <w:t>Transparent: There are bridges to mend and transparency is a good first step. We want people to know that they are safe and seen within our justice system. We must therefore disseminate data responsibly, honestly, and with an awareness of the implications for all the people who are data points in our reports (</w:t>
      </w:r>
      <w:r w:rsidR="00816BB1" w:rsidRPr="0061756A">
        <w:rPr>
          <w:sz w:val="24"/>
          <w:szCs w:val="24"/>
        </w:rPr>
        <w:t>Ngo et al.</w:t>
      </w:r>
      <w:r w:rsidRPr="0061756A">
        <w:rPr>
          <w:sz w:val="24"/>
          <w:szCs w:val="24"/>
        </w:rPr>
        <w:t>).</w:t>
      </w:r>
    </w:p>
    <w:p w14:paraId="7F7E1CFE" w14:textId="77777777" w:rsidR="00ED723B" w:rsidRPr="0061756A" w:rsidRDefault="00ED723B" w:rsidP="00ED723B">
      <w:pPr>
        <w:pStyle w:val="ListParagraph"/>
        <w:spacing w:line="240" w:lineRule="auto"/>
        <w:ind w:left="1440"/>
        <w:rPr>
          <w:sz w:val="24"/>
          <w:szCs w:val="24"/>
        </w:rPr>
      </w:pPr>
    </w:p>
    <w:p w14:paraId="761C73A3" w14:textId="527DBB02" w:rsidR="006B5097" w:rsidRPr="0061756A" w:rsidRDefault="006B5097" w:rsidP="00ED723B">
      <w:pPr>
        <w:pStyle w:val="ListParagraph"/>
        <w:numPr>
          <w:ilvl w:val="1"/>
          <w:numId w:val="8"/>
        </w:numPr>
        <w:spacing w:line="240" w:lineRule="auto"/>
        <w:rPr>
          <w:sz w:val="24"/>
          <w:szCs w:val="24"/>
        </w:rPr>
      </w:pPr>
      <w:r w:rsidRPr="0061756A">
        <w:rPr>
          <w:sz w:val="24"/>
          <w:szCs w:val="24"/>
        </w:rPr>
        <w:t>Inclusive: We must be mindful of the labels we use to categorize people and actively prioritize diversity</w:t>
      </w:r>
      <w:r w:rsidR="00816BB1" w:rsidRPr="0061756A">
        <w:rPr>
          <w:sz w:val="24"/>
          <w:szCs w:val="24"/>
        </w:rPr>
        <w:t xml:space="preserve"> (Turiel et al.</w:t>
      </w:r>
      <w:r w:rsidRPr="0061756A">
        <w:rPr>
          <w:sz w:val="24"/>
          <w:szCs w:val="24"/>
        </w:rPr>
        <w:t>). It is much too easy to wish to aggregate data in such a way that removes all cultural responsiveness. There have been and will continue to be times when doing so is necessary but we must then be sensitive in our presentation of that data, and be ready to explain our choices. It is not difficult to show thoughtfulness and respect for the kaleidoscope of values and differences.</w:t>
      </w:r>
    </w:p>
    <w:p w14:paraId="2D6B39C3" w14:textId="4F1001BB" w:rsidR="00ED723B" w:rsidRPr="0061756A" w:rsidRDefault="00ED723B" w:rsidP="00ED723B">
      <w:pPr>
        <w:pStyle w:val="ListParagraph"/>
        <w:rPr>
          <w:sz w:val="24"/>
          <w:szCs w:val="24"/>
        </w:rPr>
      </w:pPr>
    </w:p>
    <w:p w14:paraId="63B6BD67" w14:textId="5BEB67A9" w:rsidR="00ED723B" w:rsidRPr="0061756A" w:rsidRDefault="006B5097" w:rsidP="00ED723B">
      <w:pPr>
        <w:pStyle w:val="ListParagraph"/>
        <w:numPr>
          <w:ilvl w:val="1"/>
          <w:numId w:val="8"/>
        </w:numPr>
        <w:spacing w:after="0" w:line="240" w:lineRule="auto"/>
        <w:rPr>
          <w:sz w:val="24"/>
          <w:szCs w:val="24"/>
        </w:rPr>
      </w:pPr>
      <w:r w:rsidRPr="0061756A">
        <w:rPr>
          <w:sz w:val="24"/>
          <w:szCs w:val="24"/>
        </w:rPr>
        <w:lastRenderedPageBreak/>
        <w:t>Community and Collaboration: We must do our best to include community members and stakeholders in every aspect of our efforts if at all possible. For example, every study begins with a question. The community has insights into their needs and experiences that we do not, and those insights are not only valid but also valuable (</w:t>
      </w:r>
      <w:r w:rsidR="00816BB1" w:rsidRPr="0061756A">
        <w:rPr>
          <w:sz w:val="24"/>
          <w:szCs w:val="24"/>
        </w:rPr>
        <w:t>Del Campo et al.</w:t>
      </w:r>
      <w:r w:rsidRPr="0061756A">
        <w:rPr>
          <w:sz w:val="24"/>
          <w:szCs w:val="24"/>
        </w:rPr>
        <w:t>). We should really make efforts to democratize our data so that the results can be useful to the community; it’s a perfect way to empower them to help themselves.  Data sovereignty is also important to consider and respect.</w:t>
      </w:r>
    </w:p>
    <w:p w14:paraId="6F8BA950" w14:textId="77777777" w:rsidR="00ED723B" w:rsidRPr="0061756A" w:rsidRDefault="00ED723B" w:rsidP="00ED723B">
      <w:pPr>
        <w:spacing w:after="0" w:line="240" w:lineRule="auto"/>
        <w:rPr>
          <w:sz w:val="24"/>
          <w:szCs w:val="24"/>
        </w:rPr>
      </w:pPr>
    </w:p>
    <w:p w14:paraId="41FCC9A5" w14:textId="31B0428B" w:rsidR="006B5097" w:rsidRPr="0061756A" w:rsidRDefault="006B5097" w:rsidP="00ED723B">
      <w:pPr>
        <w:pStyle w:val="ListParagraph"/>
        <w:numPr>
          <w:ilvl w:val="1"/>
          <w:numId w:val="8"/>
        </w:numPr>
        <w:spacing w:line="240" w:lineRule="auto"/>
        <w:rPr>
          <w:sz w:val="24"/>
          <w:szCs w:val="24"/>
        </w:rPr>
      </w:pPr>
      <w:r w:rsidRPr="0061756A">
        <w:rPr>
          <w:sz w:val="24"/>
          <w:szCs w:val="24"/>
        </w:rPr>
        <w:t>Accountability and Sustainability: With equity as the lens, we must look back as well as forward at our efforts and choices. We must become sensitive to our implicit biases and always strive for a more just system</w:t>
      </w:r>
      <w:r w:rsidR="00816BB1" w:rsidRPr="0061756A">
        <w:rPr>
          <w:sz w:val="24"/>
          <w:szCs w:val="24"/>
        </w:rPr>
        <w:t xml:space="preserve"> (Center for the Study of Social Policy</w:t>
      </w:r>
      <w:r w:rsidRPr="0061756A">
        <w:rPr>
          <w:sz w:val="24"/>
          <w:szCs w:val="24"/>
        </w:rPr>
        <w:t xml:space="preserve">). </w:t>
      </w:r>
    </w:p>
    <w:p w14:paraId="3A587C3A" w14:textId="7DB84F37" w:rsidR="00F27178" w:rsidRPr="0061756A" w:rsidRDefault="00EA7D8D">
      <w:pPr>
        <w:rPr>
          <w:b/>
          <w:sz w:val="24"/>
          <w:szCs w:val="24"/>
        </w:rPr>
      </w:pPr>
      <w:r w:rsidRPr="0061756A">
        <w:rPr>
          <w:b/>
          <w:sz w:val="24"/>
          <w:szCs w:val="24"/>
        </w:rPr>
        <w:t>Implementing Data for Justice</w:t>
      </w:r>
    </w:p>
    <w:p w14:paraId="6FA28C0B" w14:textId="2D24FEB6" w:rsidR="00DF6F4F" w:rsidRPr="0061756A" w:rsidRDefault="00EA7D8D" w:rsidP="00D31B21">
      <w:pPr>
        <w:ind w:firstLine="720"/>
        <w:rPr>
          <w:sz w:val="24"/>
          <w:szCs w:val="24"/>
        </w:rPr>
      </w:pPr>
      <w:r w:rsidRPr="0061756A">
        <w:rPr>
          <w:sz w:val="24"/>
          <w:szCs w:val="24"/>
        </w:rPr>
        <w:lastRenderedPageBreak/>
        <w:t>For</w:t>
      </w:r>
      <w:r w:rsidR="00C46369" w:rsidRPr="0061756A">
        <w:rPr>
          <w:sz w:val="24"/>
          <w:szCs w:val="24"/>
        </w:rPr>
        <w:t xml:space="preserve"> the Data for Justice </w:t>
      </w:r>
      <w:proofErr w:type="gramStart"/>
      <w:r w:rsidRPr="0061756A">
        <w:rPr>
          <w:sz w:val="24"/>
          <w:szCs w:val="24"/>
        </w:rPr>
        <w:t>i</w:t>
      </w:r>
      <w:r w:rsidR="009E3F9B" w:rsidRPr="0061756A">
        <w:rPr>
          <w:sz w:val="24"/>
          <w:szCs w:val="24"/>
        </w:rPr>
        <w:t>nitiative</w:t>
      </w:r>
      <w:proofErr w:type="gramEnd"/>
      <w:r w:rsidR="00C46369" w:rsidRPr="0061756A">
        <w:rPr>
          <w:sz w:val="24"/>
          <w:szCs w:val="24"/>
        </w:rPr>
        <w:t xml:space="preserve"> </w:t>
      </w:r>
      <w:r w:rsidRPr="0061756A">
        <w:rPr>
          <w:sz w:val="24"/>
          <w:szCs w:val="24"/>
        </w:rPr>
        <w:t>to</w:t>
      </w:r>
      <w:r w:rsidR="00C46369" w:rsidRPr="0061756A">
        <w:rPr>
          <w:sz w:val="24"/>
          <w:szCs w:val="24"/>
        </w:rPr>
        <w:t xml:space="preserve"> grow in a</w:t>
      </w:r>
      <w:r w:rsidR="00C76410">
        <w:rPr>
          <w:sz w:val="24"/>
          <w:szCs w:val="24"/>
        </w:rPr>
        <w:t>n</w:t>
      </w:r>
      <w:r w:rsidR="00D31B21" w:rsidRPr="0061756A">
        <w:rPr>
          <w:sz w:val="24"/>
          <w:szCs w:val="24"/>
        </w:rPr>
        <w:t xml:space="preserve"> orderly</w:t>
      </w:r>
      <w:r w:rsidR="00C76410">
        <w:rPr>
          <w:sz w:val="24"/>
          <w:szCs w:val="24"/>
        </w:rPr>
        <w:t xml:space="preserve"> and sustainable</w:t>
      </w:r>
      <w:r w:rsidR="00C46369" w:rsidRPr="0061756A">
        <w:rPr>
          <w:sz w:val="24"/>
          <w:szCs w:val="24"/>
        </w:rPr>
        <w:t xml:space="preserve"> manner, w</w:t>
      </w:r>
      <w:r w:rsidR="00F27178" w:rsidRPr="0061756A">
        <w:rPr>
          <w:sz w:val="24"/>
          <w:szCs w:val="24"/>
        </w:rPr>
        <w:t xml:space="preserve">e </w:t>
      </w:r>
      <w:r w:rsidR="00BC185D" w:rsidRPr="0061756A">
        <w:rPr>
          <w:sz w:val="24"/>
          <w:szCs w:val="24"/>
        </w:rPr>
        <w:t>recommend</w:t>
      </w:r>
      <w:r w:rsidR="00D11093" w:rsidRPr="0061756A">
        <w:rPr>
          <w:sz w:val="24"/>
          <w:szCs w:val="24"/>
        </w:rPr>
        <w:t xml:space="preserve"> a system</w:t>
      </w:r>
      <w:r w:rsidR="00BE4139" w:rsidRPr="0061756A">
        <w:rPr>
          <w:sz w:val="24"/>
          <w:szCs w:val="24"/>
        </w:rPr>
        <w:t xml:space="preserve">atic approach to planning that includes </w:t>
      </w:r>
      <w:r w:rsidR="00D11093" w:rsidRPr="0061756A">
        <w:rPr>
          <w:sz w:val="24"/>
          <w:szCs w:val="24"/>
        </w:rPr>
        <w:t>judicial branch partners.</w:t>
      </w:r>
      <w:r w:rsidR="00BE4139" w:rsidRPr="0061756A">
        <w:rPr>
          <w:sz w:val="24"/>
          <w:szCs w:val="24"/>
        </w:rPr>
        <w:t xml:space="preserve"> </w:t>
      </w:r>
    </w:p>
    <w:p w14:paraId="4C0EDB0A" w14:textId="220EFDB1" w:rsidR="00E03022" w:rsidRPr="0061756A" w:rsidRDefault="00E03022" w:rsidP="00E03022">
      <w:pPr>
        <w:pStyle w:val="ListParagraph"/>
        <w:numPr>
          <w:ilvl w:val="0"/>
          <w:numId w:val="6"/>
        </w:numPr>
        <w:rPr>
          <w:b/>
          <w:bCs/>
          <w:sz w:val="24"/>
          <w:szCs w:val="24"/>
        </w:rPr>
      </w:pPr>
      <w:r w:rsidRPr="0061756A">
        <w:rPr>
          <w:b/>
          <w:bCs/>
          <w:sz w:val="24"/>
          <w:szCs w:val="24"/>
        </w:rPr>
        <w:t>Create</w:t>
      </w:r>
      <w:r w:rsidR="000F1669" w:rsidRPr="0061756A">
        <w:rPr>
          <w:b/>
          <w:bCs/>
          <w:sz w:val="24"/>
          <w:szCs w:val="24"/>
        </w:rPr>
        <w:t xml:space="preserve"> Inclusive</w:t>
      </w:r>
      <w:r w:rsidRPr="0061756A">
        <w:rPr>
          <w:b/>
          <w:bCs/>
          <w:sz w:val="24"/>
          <w:szCs w:val="24"/>
        </w:rPr>
        <w:t xml:space="preserve"> Workgroups to Identify Priority Areas</w:t>
      </w:r>
      <w:r w:rsidR="000F1669" w:rsidRPr="0061756A">
        <w:rPr>
          <w:b/>
          <w:bCs/>
          <w:sz w:val="24"/>
          <w:szCs w:val="24"/>
        </w:rPr>
        <w:t xml:space="preserve"> </w:t>
      </w:r>
      <w:r w:rsidR="00BE4139" w:rsidRPr="0061756A">
        <w:rPr>
          <w:b/>
          <w:bCs/>
          <w:sz w:val="24"/>
          <w:szCs w:val="24"/>
        </w:rPr>
        <w:t>and Plan for Implementation</w:t>
      </w:r>
    </w:p>
    <w:p w14:paraId="0595AF50" w14:textId="286E7176" w:rsidR="000F1669" w:rsidRPr="0061756A" w:rsidRDefault="000835C2" w:rsidP="000F1669">
      <w:pPr>
        <w:pStyle w:val="ListParagraph"/>
        <w:numPr>
          <w:ilvl w:val="0"/>
          <w:numId w:val="5"/>
        </w:numPr>
        <w:rPr>
          <w:sz w:val="24"/>
          <w:szCs w:val="24"/>
        </w:rPr>
      </w:pPr>
      <w:r w:rsidRPr="0061756A">
        <w:rPr>
          <w:sz w:val="24"/>
          <w:szCs w:val="24"/>
        </w:rPr>
        <w:t xml:space="preserve">A workgroup process can be used to identify </w:t>
      </w:r>
      <w:r w:rsidR="00D11093" w:rsidRPr="0061756A">
        <w:rPr>
          <w:sz w:val="24"/>
          <w:szCs w:val="24"/>
        </w:rPr>
        <w:t>data gaps</w:t>
      </w:r>
      <w:r w:rsidR="00C76410">
        <w:rPr>
          <w:sz w:val="24"/>
          <w:szCs w:val="24"/>
        </w:rPr>
        <w:t xml:space="preserve"> and training needs</w:t>
      </w:r>
      <w:r w:rsidRPr="0061756A">
        <w:rPr>
          <w:sz w:val="24"/>
          <w:szCs w:val="24"/>
        </w:rPr>
        <w:t>.</w:t>
      </w:r>
    </w:p>
    <w:p w14:paraId="342728EC" w14:textId="28CBAB11" w:rsidR="00BE4139" w:rsidRPr="0061756A" w:rsidRDefault="000835C2" w:rsidP="00BE4139">
      <w:pPr>
        <w:pStyle w:val="ListParagraph"/>
        <w:numPr>
          <w:ilvl w:val="0"/>
          <w:numId w:val="5"/>
        </w:numPr>
        <w:rPr>
          <w:sz w:val="24"/>
          <w:szCs w:val="24"/>
        </w:rPr>
      </w:pPr>
      <w:r w:rsidRPr="0061756A">
        <w:rPr>
          <w:sz w:val="24"/>
          <w:szCs w:val="24"/>
        </w:rPr>
        <w:t xml:space="preserve">Workgroup reports will inform </w:t>
      </w:r>
      <w:r w:rsidR="00C76410">
        <w:rPr>
          <w:sz w:val="24"/>
          <w:szCs w:val="24"/>
        </w:rPr>
        <w:t xml:space="preserve">setting of </w:t>
      </w:r>
      <w:r w:rsidRPr="0061756A">
        <w:rPr>
          <w:sz w:val="24"/>
          <w:szCs w:val="24"/>
        </w:rPr>
        <w:t xml:space="preserve">priorities and </w:t>
      </w:r>
      <w:r w:rsidR="00C76410">
        <w:rPr>
          <w:sz w:val="24"/>
          <w:szCs w:val="24"/>
        </w:rPr>
        <w:t xml:space="preserve">help </w:t>
      </w:r>
      <w:r w:rsidRPr="0061756A">
        <w:rPr>
          <w:sz w:val="24"/>
          <w:szCs w:val="24"/>
        </w:rPr>
        <w:t>prepare</w:t>
      </w:r>
      <w:r w:rsidR="0096233E" w:rsidRPr="0061756A">
        <w:rPr>
          <w:sz w:val="24"/>
          <w:szCs w:val="24"/>
        </w:rPr>
        <w:t xml:space="preserve"> for a legislative budget request</w:t>
      </w:r>
      <w:r w:rsidR="00E03022" w:rsidRPr="0061756A">
        <w:rPr>
          <w:sz w:val="24"/>
          <w:szCs w:val="24"/>
        </w:rPr>
        <w:t xml:space="preserve"> under the Data for Justice Initiative. </w:t>
      </w:r>
    </w:p>
    <w:p w14:paraId="0926E83A" w14:textId="77777777" w:rsidR="00E03022" w:rsidRPr="0061756A" w:rsidRDefault="00E03022" w:rsidP="00E03022">
      <w:pPr>
        <w:pStyle w:val="ListParagraph"/>
        <w:ind w:left="1440"/>
        <w:rPr>
          <w:sz w:val="24"/>
          <w:szCs w:val="24"/>
        </w:rPr>
      </w:pPr>
    </w:p>
    <w:p w14:paraId="0D6601A0" w14:textId="3B5F56AA" w:rsidR="00E03022" w:rsidRPr="0061756A" w:rsidRDefault="00E03022" w:rsidP="00E03022">
      <w:pPr>
        <w:pStyle w:val="ListParagraph"/>
        <w:numPr>
          <w:ilvl w:val="0"/>
          <w:numId w:val="6"/>
        </w:numPr>
        <w:rPr>
          <w:b/>
          <w:bCs/>
          <w:sz w:val="24"/>
          <w:szCs w:val="24"/>
        </w:rPr>
      </w:pPr>
      <w:r w:rsidRPr="0061756A">
        <w:rPr>
          <w:b/>
          <w:bCs/>
          <w:sz w:val="24"/>
          <w:szCs w:val="24"/>
        </w:rPr>
        <w:t>Develop Legislative Budget</w:t>
      </w:r>
      <w:r w:rsidR="006D0432" w:rsidRPr="0061756A">
        <w:rPr>
          <w:b/>
          <w:bCs/>
          <w:sz w:val="24"/>
          <w:szCs w:val="24"/>
        </w:rPr>
        <w:t xml:space="preserve"> Package</w:t>
      </w:r>
      <w:r w:rsidR="00BB1BC5" w:rsidRPr="0061756A">
        <w:rPr>
          <w:b/>
          <w:bCs/>
          <w:sz w:val="24"/>
          <w:szCs w:val="24"/>
        </w:rPr>
        <w:t>s</w:t>
      </w:r>
    </w:p>
    <w:p w14:paraId="32642CA2" w14:textId="77E40C9C" w:rsidR="00776E13" w:rsidRPr="0061756A" w:rsidRDefault="00E03022" w:rsidP="00E03022">
      <w:pPr>
        <w:pStyle w:val="ListParagraph"/>
        <w:ind w:left="1080"/>
        <w:rPr>
          <w:sz w:val="24"/>
          <w:szCs w:val="24"/>
        </w:rPr>
      </w:pPr>
      <w:r w:rsidRPr="0061756A">
        <w:rPr>
          <w:sz w:val="24"/>
          <w:szCs w:val="24"/>
        </w:rPr>
        <w:t xml:space="preserve">Similar to the previous successful BJA funding task forces, </w:t>
      </w:r>
      <w:r w:rsidR="00776E13" w:rsidRPr="0061756A">
        <w:rPr>
          <w:sz w:val="24"/>
          <w:szCs w:val="24"/>
        </w:rPr>
        <w:t xml:space="preserve">the BJA </w:t>
      </w:r>
      <w:r w:rsidRPr="0061756A">
        <w:rPr>
          <w:sz w:val="24"/>
          <w:szCs w:val="24"/>
        </w:rPr>
        <w:t xml:space="preserve">can </w:t>
      </w:r>
      <w:r w:rsidR="00776E13" w:rsidRPr="0061756A">
        <w:rPr>
          <w:sz w:val="24"/>
          <w:szCs w:val="24"/>
        </w:rPr>
        <w:t xml:space="preserve">develop a legislative budget </w:t>
      </w:r>
      <w:r w:rsidR="006D0432" w:rsidRPr="0061756A">
        <w:rPr>
          <w:sz w:val="24"/>
          <w:szCs w:val="24"/>
        </w:rPr>
        <w:t>package</w:t>
      </w:r>
      <w:r w:rsidR="00776E13" w:rsidRPr="0061756A">
        <w:rPr>
          <w:sz w:val="24"/>
          <w:szCs w:val="24"/>
        </w:rPr>
        <w:t xml:space="preserve"> that </w:t>
      </w:r>
      <w:r w:rsidR="00C76410">
        <w:rPr>
          <w:sz w:val="24"/>
          <w:szCs w:val="24"/>
        </w:rPr>
        <w:t>implements Data for Justice</w:t>
      </w:r>
      <w:r w:rsidR="00776E13" w:rsidRPr="0061756A">
        <w:rPr>
          <w:sz w:val="24"/>
          <w:szCs w:val="24"/>
        </w:rPr>
        <w:t xml:space="preserve"> into court program areas</w:t>
      </w:r>
      <w:r w:rsidR="00C76410">
        <w:rPr>
          <w:sz w:val="24"/>
          <w:szCs w:val="24"/>
        </w:rPr>
        <w:t>. Implementation could be</w:t>
      </w:r>
      <w:r w:rsidRPr="0061756A">
        <w:rPr>
          <w:sz w:val="24"/>
          <w:szCs w:val="24"/>
        </w:rPr>
        <w:t xml:space="preserve"> similar to the models developed for </w:t>
      </w:r>
      <w:r w:rsidR="003D1CAA" w:rsidRPr="0061756A">
        <w:rPr>
          <w:sz w:val="24"/>
          <w:szCs w:val="24"/>
        </w:rPr>
        <w:t xml:space="preserve">the </w:t>
      </w:r>
      <w:r w:rsidR="00264A1A" w:rsidRPr="0061756A">
        <w:rPr>
          <w:sz w:val="24"/>
          <w:szCs w:val="24"/>
        </w:rPr>
        <w:t>Family Treatment Court</w:t>
      </w:r>
      <w:r w:rsidR="00776E13" w:rsidRPr="0061756A">
        <w:rPr>
          <w:sz w:val="24"/>
          <w:szCs w:val="24"/>
        </w:rPr>
        <w:t xml:space="preserve"> program</w:t>
      </w:r>
      <w:r w:rsidR="00A226C8" w:rsidRPr="0061756A">
        <w:rPr>
          <w:sz w:val="24"/>
          <w:szCs w:val="24"/>
        </w:rPr>
        <w:t xml:space="preserve"> (currently grant-funded)</w:t>
      </w:r>
      <w:r w:rsidRPr="0061756A">
        <w:rPr>
          <w:sz w:val="24"/>
          <w:szCs w:val="24"/>
        </w:rPr>
        <w:t xml:space="preserve"> and the Behavioral Health Court program</w:t>
      </w:r>
      <w:r w:rsidR="00776E13" w:rsidRPr="0061756A">
        <w:rPr>
          <w:sz w:val="24"/>
          <w:szCs w:val="24"/>
        </w:rPr>
        <w:t xml:space="preserve"> which consists of a </w:t>
      </w:r>
      <w:r w:rsidR="00776E13" w:rsidRPr="0061756A">
        <w:rPr>
          <w:sz w:val="24"/>
          <w:szCs w:val="24"/>
        </w:rPr>
        <w:lastRenderedPageBreak/>
        <w:t xml:space="preserve">researcher, trainer, court program expert, and support staff. </w:t>
      </w:r>
    </w:p>
    <w:p w14:paraId="0431221F" w14:textId="6BF6AE3D" w:rsidR="006D0432" w:rsidRPr="0061756A" w:rsidRDefault="006D0432" w:rsidP="00E03022">
      <w:pPr>
        <w:pStyle w:val="ListParagraph"/>
        <w:ind w:left="1080"/>
        <w:rPr>
          <w:sz w:val="24"/>
          <w:szCs w:val="24"/>
        </w:rPr>
      </w:pPr>
    </w:p>
    <w:p w14:paraId="71875617" w14:textId="3318E0A0" w:rsidR="006D0432" w:rsidRPr="0061756A" w:rsidRDefault="006D0432" w:rsidP="006D0432">
      <w:pPr>
        <w:pStyle w:val="ListParagraph"/>
        <w:numPr>
          <w:ilvl w:val="0"/>
          <w:numId w:val="6"/>
        </w:numPr>
        <w:rPr>
          <w:b/>
          <w:bCs/>
          <w:sz w:val="24"/>
          <w:szCs w:val="24"/>
        </w:rPr>
      </w:pPr>
      <w:r w:rsidRPr="0061756A">
        <w:rPr>
          <w:b/>
          <w:bCs/>
          <w:sz w:val="24"/>
          <w:szCs w:val="24"/>
        </w:rPr>
        <w:t xml:space="preserve">Support Judicial </w:t>
      </w:r>
      <w:r w:rsidR="00BB1BC5" w:rsidRPr="0061756A">
        <w:rPr>
          <w:b/>
          <w:bCs/>
          <w:sz w:val="24"/>
          <w:szCs w:val="24"/>
        </w:rPr>
        <w:t xml:space="preserve">Branch </w:t>
      </w:r>
      <w:r w:rsidRPr="0061756A">
        <w:rPr>
          <w:b/>
          <w:bCs/>
          <w:sz w:val="24"/>
          <w:szCs w:val="24"/>
        </w:rPr>
        <w:t>Education</w:t>
      </w:r>
      <w:r w:rsidR="000F1669" w:rsidRPr="0061756A">
        <w:rPr>
          <w:b/>
          <w:bCs/>
          <w:sz w:val="24"/>
          <w:szCs w:val="24"/>
        </w:rPr>
        <w:t>, Training, and Technical Assistance</w:t>
      </w:r>
    </w:p>
    <w:p w14:paraId="651E0F8E" w14:textId="02C4ADF8" w:rsidR="00BB1BC5" w:rsidRPr="0061756A" w:rsidRDefault="00BB1BC5" w:rsidP="00BB1BC5">
      <w:pPr>
        <w:pStyle w:val="ListParagraph"/>
        <w:ind w:left="1080"/>
        <w:rPr>
          <w:sz w:val="24"/>
          <w:szCs w:val="24"/>
        </w:rPr>
      </w:pPr>
      <w:r w:rsidRPr="0061756A">
        <w:rPr>
          <w:sz w:val="24"/>
          <w:szCs w:val="24"/>
        </w:rPr>
        <w:t>Education should be utilized to instill norms</w:t>
      </w:r>
      <w:r w:rsidR="00ED723B" w:rsidRPr="0061756A">
        <w:rPr>
          <w:sz w:val="24"/>
          <w:szCs w:val="24"/>
        </w:rPr>
        <w:t xml:space="preserve"> and culture</w:t>
      </w:r>
      <w:r w:rsidRPr="0061756A">
        <w:rPr>
          <w:sz w:val="24"/>
          <w:szCs w:val="24"/>
        </w:rPr>
        <w:t xml:space="preserve"> that support the local implementation of Data for Justice.</w:t>
      </w:r>
      <w:r w:rsidR="000F1669" w:rsidRPr="0061756A">
        <w:rPr>
          <w:sz w:val="24"/>
          <w:szCs w:val="24"/>
        </w:rPr>
        <w:t xml:space="preserve"> Training and technical assistance, focused on practical aspects of interpreting data and applying data to decisions, should be offered to court staff and leaders.  </w:t>
      </w:r>
    </w:p>
    <w:p w14:paraId="305C6F14" w14:textId="77777777" w:rsidR="00BB1BC5" w:rsidRPr="0061756A" w:rsidRDefault="00BB1BC5" w:rsidP="00BB1BC5">
      <w:pPr>
        <w:pStyle w:val="ListParagraph"/>
        <w:ind w:left="1080"/>
        <w:rPr>
          <w:sz w:val="24"/>
          <w:szCs w:val="24"/>
        </w:rPr>
      </w:pPr>
    </w:p>
    <w:p w14:paraId="054A792A" w14:textId="3415661B" w:rsidR="006D0432" w:rsidRPr="0061756A" w:rsidRDefault="00C76410" w:rsidP="006D0432">
      <w:pPr>
        <w:pStyle w:val="ListParagraph"/>
        <w:numPr>
          <w:ilvl w:val="0"/>
          <w:numId w:val="6"/>
        </w:numPr>
        <w:rPr>
          <w:b/>
          <w:bCs/>
          <w:sz w:val="24"/>
          <w:szCs w:val="24"/>
        </w:rPr>
      </w:pPr>
      <w:r>
        <w:rPr>
          <w:b/>
          <w:bCs/>
          <w:sz w:val="24"/>
          <w:szCs w:val="24"/>
        </w:rPr>
        <w:t>Data for Justice</w:t>
      </w:r>
      <w:r w:rsidR="00F10069" w:rsidRPr="0061756A">
        <w:rPr>
          <w:b/>
          <w:bCs/>
          <w:sz w:val="24"/>
          <w:szCs w:val="24"/>
        </w:rPr>
        <w:t xml:space="preserve"> Components Should </w:t>
      </w:r>
      <w:r>
        <w:rPr>
          <w:b/>
          <w:bCs/>
          <w:sz w:val="24"/>
          <w:szCs w:val="24"/>
        </w:rPr>
        <w:t>b</w:t>
      </w:r>
      <w:r w:rsidR="00F10069" w:rsidRPr="0061756A">
        <w:rPr>
          <w:b/>
          <w:bCs/>
          <w:sz w:val="24"/>
          <w:szCs w:val="24"/>
        </w:rPr>
        <w:t xml:space="preserve">e </w:t>
      </w:r>
      <w:r>
        <w:rPr>
          <w:b/>
          <w:bCs/>
          <w:sz w:val="24"/>
          <w:szCs w:val="24"/>
        </w:rPr>
        <w:t>Part of</w:t>
      </w:r>
      <w:r w:rsidR="00F10069" w:rsidRPr="0061756A">
        <w:rPr>
          <w:b/>
          <w:bCs/>
          <w:sz w:val="24"/>
          <w:szCs w:val="24"/>
        </w:rPr>
        <w:t xml:space="preserve"> Court Program Changes </w:t>
      </w:r>
    </w:p>
    <w:p w14:paraId="382ECF89" w14:textId="5FD8E355" w:rsidR="000F1669" w:rsidRPr="0061756A" w:rsidRDefault="00F10069" w:rsidP="000F1669">
      <w:pPr>
        <w:pStyle w:val="ListParagraph"/>
        <w:ind w:left="1080"/>
        <w:rPr>
          <w:sz w:val="24"/>
          <w:szCs w:val="24"/>
        </w:rPr>
      </w:pPr>
      <w:r w:rsidRPr="0061756A">
        <w:rPr>
          <w:sz w:val="24"/>
          <w:szCs w:val="24"/>
        </w:rPr>
        <w:t xml:space="preserve">So that new programs and expansion of existing programs will incorporate Data for Justice, we </w:t>
      </w:r>
      <w:r w:rsidR="00C76410">
        <w:rPr>
          <w:sz w:val="24"/>
          <w:szCs w:val="24"/>
        </w:rPr>
        <w:t>suggest</w:t>
      </w:r>
      <w:r w:rsidRPr="0061756A">
        <w:rPr>
          <w:sz w:val="24"/>
          <w:szCs w:val="24"/>
        </w:rPr>
        <w:t xml:space="preserve"> that </w:t>
      </w:r>
      <w:r w:rsidR="00A226C8" w:rsidRPr="0061756A">
        <w:rPr>
          <w:sz w:val="24"/>
          <w:szCs w:val="24"/>
        </w:rPr>
        <w:t xml:space="preserve">ongoing </w:t>
      </w:r>
      <w:r w:rsidRPr="0061756A">
        <w:rPr>
          <w:sz w:val="24"/>
          <w:szCs w:val="24"/>
        </w:rPr>
        <w:t xml:space="preserve">funds for </w:t>
      </w:r>
      <w:r w:rsidR="00A226C8" w:rsidRPr="0061756A">
        <w:rPr>
          <w:sz w:val="24"/>
          <w:szCs w:val="24"/>
        </w:rPr>
        <w:t>research</w:t>
      </w:r>
      <w:r w:rsidR="00C76410">
        <w:rPr>
          <w:sz w:val="24"/>
          <w:szCs w:val="24"/>
        </w:rPr>
        <w:t>, education</w:t>
      </w:r>
      <w:r w:rsidR="00A226C8" w:rsidRPr="0061756A">
        <w:rPr>
          <w:sz w:val="24"/>
          <w:szCs w:val="24"/>
        </w:rPr>
        <w:t xml:space="preserve"> and staff who are subject matter experts</w:t>
      </w:r>
      <w:r w:rsidRPr="0061756A">
        <w:rPr>
          <w:sz w:val="24"/>
          <w:szCs w:val="24"/>
        </w:rPr>
        <w:t xml:space="preserve"> be included in any future</w:t>
      </w:r>
      <w:r w:rsidR="00A226C8" w:rsidRPr="0061756A">
        <w:rPr>
          <w:sz w:val="24"/>
          <w:szCs w:val="24"/>
        </w:rPr>
        <w:t xml:space="preserve"> legislative</w:t>
      </w:r>
      <w:r w:rsidRPr="0061756A">
        <w:rPr>
          <w:sz w:val="24"/>
          <w:szCs w:val="24"/>
        </w:rPr>
        <w:t xml:space="preserve"> funding requests for court </w:t>
      </w:r>
      <w:r w:rsidRPr="0061756A">
        <w:rPr>
          <w:sz w:val="24"/>
          <w:szCs w:val="24"/>
        </w:rPr>
        <w:lastRenderedPageBreak/>
        <w:t>program development. This has occurred with recent program development led by the AOC (Behavioral Health, Equity and Justice, Family Treatment Courts, Early Childhood Court Program</w:t>
      </w:r>
      <w:r w:rsidR="00A226C8" w:rsidRPr="0061756A">
        <w:rPr>
          <w:sz w:val="24"/>
          <w:szCs w:val="24"/>
        </w:rPr>
        <w:t>, of which only the Early Childhood Court Program support is permanently funded</w:t>
      </w:r>
      <w:r w:rsidRPr="0061756A">
        <w:rPr>
          <w:sz w:val="24"/>
          <w:szCs w:val="24"/>
        </w:rPr>
        <w:t>). It also occurred in 2021 with HB 1219 (and budgeted</w:t>
      </w:r>
      <w:r w:rsidR="00A226C8" w:rsidRPr="0061756A">
        <w:rPr>
          <w:sz w:val="24"/>
          <w:szCs w:val="24"/>
        </w:rPr>
        <w:t xml:space="preserve"> ongoing funding</w:t>
      </w:r>
      <w:r w:rsidRPr="0061756A">
        <w:rPr>
          <w:sz w:val="24"/>
          <w:szCs w:val="24"/>
        </w:rPr>
        <w:t xml:space="preserve">) for expansion of the Office of Civil Legal Aid’s Dependent Children Legal Representation program. </w:t>
      </w:r>
    </w:p>
    <w:p w14:paraId="1CA1DB9E" w14:textId="77777777" w:rsidR="000F1669" w:rsidRPr="0061756A" w:rsidRDefault="000F1669" w:rsidP="00F10069">
      <w:pPr>
        <w:pStyle w:val="ListParagraph"/>
        <w:ind w:left="1080"/>
        <w:rPr>
          <w:sz w:val="24"/>
          <w:szCs w:val="24"/>
        </w:rPr>
      </w:pPr>
    </w:p>
    <w:p w14:paraId="578A302E" w14:textId="77777777" w:rsidR="00264A1A" w:rsidRPr="0061756A" w:rsidRDefault="00264A1A" w:rsidP="00F10069">
      <w:pPr>
        <w:ind w:firstLine="720"/>
        <w:rPr>
          <w:sz w:val="24"/>
          <w:szCs w:val="24"/>
        </w:rPr>
      </w:pPr>
      <w:r w:rsidRPr="0061756A">
        <w:rPr>
          <w:sz w:val="24"/>
          <w:szCs w:val="24"/>
        </w:rPr>
        <w:t>Washington’s justice system can and must do better in delivering equal justice, effective interventions, and access to justice</w:t>
      </w:r>
      <w:r w:rsidR="00A214F3" w:rsidRPr="0061756A">
        <w:rPr>
          <w:sz w:val="24"/>
          <w:szCs w:val="24"/>
        </w:rPr>
        <w:t>. T</w:t>
      </w:r>
      <w:r w:rsidRPr="0061756A">
        <w:rPr>
          <w:sz w:val="24"/>
          <w:szCs w:val="24"/>
        </w:rPr>
        <w:t>he development and application of data to decision making</w:t>
      </w:r>
      <w:r w:rsidR="00A214F3" w:rsidRPr="0061756A">
        <w:rPr>
          <w:sz w:val="24"/>
          <w:szCs w:val="24"/>
        </w:rPr>
        <w:t xml:space="preserve"> is key to making justice a reality.</w:t>
      </w:r>
      <w:r w:rsidRPr="0061756A">
        <w:rPr>
          <w:sz w:val="24"/>
          <w:szCs w:val="24"/>
        </w:rPr>
        <w:t xml:space="preserve"> </w:t>
      </w:r>
    </w:p>
    <w:p w14:paraId="28FFBB47" w14:textId="75C05B65" w:rsidR="00F10069" w:rsidRPr="0061756A" w:rsidRDefault="00F10069" w:rsidP="00D31B21">
      <w:pPr>
        <w:ind w:firstLine="720"/>
        <w:rPr>
          <w:sz w:val="24"/>
          <w:szCs w:val="24"/>
        </w:rPr>
      </w:pPr>
    </w:p>
    <w:p w14:paraId="6F7F3244" w14:textId="77777777" w:rsidR="00F10069" w:rsidRPr="0061756A" w:rsidRDefault="00F10069" w:rsidP="00D31B21">
      <w:pPr>
        <w:ind w:firstLine="720"/>
        <w:rPr>
          <w:sz w:val="24"/>
          <w:szCs w:val="24"/>
        </w:rPr>
      </w:pPr>
    </w:p>
    <w:p w14:paraId="785FDB4F" w14:textId="77777777" w:rsidR="00BE4139" w:rsidRPr="0061756A" w:rsidRDefault="00BE4139">
      <w:pPr>
        <w:rPr>
          <w:sz w:val="24"/>
          <w:szCs w:val="24"/>
        </w:rPr>
      </w:pPr>
      <w:r w:rsidRPr="0061756A">
        <w:rPr>
          <w:sz w:val="24"/>
          <w:szCs w:val="24"/>
        </w:rPr>
        <w:br w:type="page"/>
      </w:r>
    </w:p>
    <w:p w14:paraId="72DE8CF5" w14:textId="79457329" w:rsidR="00F6267C" w:rsidRPr="0061756A" w:rsidRDefault="00F6267C" w:rsidP="00F6267C">
      <w:pPr>
        <w:rPr>
          <w:sz w:val="24"/>
          <w:szCs w:val="24"/>
        </w:rPr>
      </w:pPr>
      <w:r w:rsidRPr="0061756A">
        <w:rPr>
          <w:sz w:val="24"/>
          <w:szCs w:val="24"/>
        </w:rPr>
        <w:lastRenderedPageBreak/>
        <w:t>Works Cited:</w:t>
      </w:r>
    </w:p>
    <w:p w14:paraId="5ED28B1D" w14:textId="4DF3401A" w:rsidR="00522280" w:rsidRPr="0061756A" w:rsidRDefault="00522280">
      <w:pPr>
        <w:rPr>
          <w:rFonts w:cstheme="minorHAnsi"/>
          <w:color w:val="2A2A2A"/>
          <w:sz w:val="24"/>
          <w:szCs w:val="24"/>
          <w:shd w:val="clear" w:color="auto" w:fill="FFFFFF"/>
        </w:rPr>
      </w:pPr>
      <w:r w:rsidRPr="0061756A">
        <w:rPr>
          <w:rFonts w:cstheme="minorHAnsi"/>
          <w:color w:val="2A2A2A"/>
          <w:sz w:val="24"/>
          <w:szCs w:val="24"/>
          <w:shd w:val="clear" w:color="auto" w:fill="FFFFFF"/>
        </w:rPr>
        <w:t>Blessett, B., Dodge, J., Edmond, B., Goerdel H. T., Gooden, S. T., Headley, A. M., Riccucci</w:t>
      </w:r>
      <w:r w:rsidR="00A33490" w:rsidRPr="0061756A">
        <w:rPr>
          <w:rFonts w:cstheme="minorHAnsi"/>
          <w:color w:val="2A2A2A"/>
          <w:sz w:val="24"/>
          <w:szCs w:val="24"/>
          <w:shd w:val="clear" w:color="auto" w:fill="FFFFFF"/>
        </w:rPr>
        <w:t xml:space="preserve">, N. M., Williams, B. N. 2019. </w:t>
      </w:r>
      <w:r w:rsidRPr="0061756A">
        <w:rPr>
          <w:rFonts w:cstheme="minorHAnsi"/>
          <w:color w:val="2A2A2A"/>
          <w:sz w:val="24"/>
          <w:szCs w:val="24"/>
          <w:shd w:val="clear" w:color="auto" w:fill="FFFFFF"/>
        </w:rPr>
        <w:t>Social Equity in Public Ad</w:t>
      </w:r>
      <w:r w:rsidR="00A33490" w:rsidRPr="0061756A">
        <w:rPr>
          <w:rFonts w:cstheme="minorHAnsi"/>
          <w:color w:val="2A2A2A"/>
          <w:sz w:val="24"/>
          <w:szCs w:val="24"/>
          <w:shd w:val="clear" w:color="auto" w:fill="FFFFFF"/>
        </w:rPr>
        <w:t>ministration: A Call to Action,</w:t>
      </w:r>
      <w:r w:rsidRPr="0061756A">
        <w:rPr>
          <w:rFonts w:cstheme="minorHAnsi"/>
          <w:color w:val="2A2A2A"/>
          <w:sz w:val="24"/>
          <w:szCs w:val="24"/>
          <w:shd w:val="clear" w:color="auto" w:fill="FFFFFF"/>
        </w:rPr>
        <w:t> </w:t>
      </w:r>
      <w:r w:rsidRPr="0061756A">
        <w:rPr>
          <w:rFonts w:cstheme="minorHAnsi"/>
          <w:i/>
          <w:iCs/>
          <w:sz w:val="24"/>
          <w:szCs w:val="24"/>
        </w:rPr>
        <w:t>Perspectives on Public Management and Governance</w:t>
      </w:r>
      <w:r w:rsidRPr="0061756A">
        <w:rPr>
          <w:rFonts w:cstheme="minorHAnsi"/>
          <w:color w:val="2A2A2A"/>
          <w:sz w:val="24"/>
          <w:szCs w:val="24"/>
          <w:shd w:val="clear" w:color="auto" w:fill="FFFFFF"/>
        </w:rPr>
        <w:t>, 2</w:t>
      </w:r>
      <w:r w:rsidR="00816BB1" w:rsidRPr="0061756A">
        <w:rPr>
          <w:rFonts w:cstheme="minorHAnsi"/>
          <w:color w:val="2A2A2A"/>
          <w:sz w:val="24"/>
          <w:szCs w:val="24"/>
          <w:shd w:val="clear" w:color="auto" w:fill="FFFFFF"/>
        </w:rPr>
        <w:t xml:space="preserve"> (</w:t>
      </w:r>
      <w:r w:rsidRPr="0061756A">
        <w:rPr>
          <w:rFonts w:cstheme="minorHAnsi"/>
          <w:color w:val="2A2A2A"/>
          <w:sz w:val="24"/>
          <w:szCs w:val="24"/>
          <w:shd w:val="clear" w:color="auto" w:fill="FFFFFF"/>
        </w:rPr>
        <w:t>4</w:t>
      </w:r>
      <w:r w:rsidR="00816BB1" w:rsidRPr="0061756A">
        <w:rPr>
          <w:rFonts w:cstheme="minorHAnsi"/>
          <w:color w:val="2A2A2A"/>
          <w:sz w:val="24"/>
          <w:szCs w:val="24"/>
          <w:shd w:val="clear" w:color="auto" w:fill="FFFFFF"/>
        </w:rPr>
        <w:t>)</w:t>
      </w:r>
      <w:r w:rsidRPr="0061756A">
        <w:rPr>
          <w:rFonts w:cstheme="minorHAnsi"/>
          <w:color w:val="2A2A2A"/>
          <w:sz w:val="24"/>
          <w:szCs w:val="24"/>
          <w:shd w:val="clear" w:color="auto" w:fill="FFFFFF"/>
        </w:rPr>
        <w:t>, Pages 283–299, </w:t>
      </w:r>
      <w:hyperlink r:id="rId9" w:history="1">
        <w:r w:rsidRPr="0061756A">
          <w:rPr>
            <w:rFonts w:cstheme="minorHAnsi"/>
            <w:color w:val="2A2A2A"/>
            <w:sz w:val="24"/>
            <w:szCs w:val="24"/>
          </w:rPr>
          <w:t>https://doi.org/10.1093/ppmgov/gvz016</w:t>
        </w:r>
      </w:hyperlink>
      <w:r w:rsidRPr="0061756A">
        <w:rPr>
          <w:rFonts w:cstheme="minorHAnsi"/>
          <w:color w:val="2A2A2A"/>
          <w:sz w:val="24"/>
          <w:szCs w:val="24"/>
          <w:shd w:val="clear" w:color="auto" w:fill="FFFFFF"/>
        </w:rPr>
        <w:t xml:space="preserve">. </w:t>
      </w:r>
    </w:p>
    <w:p w14:paraId="5916BA71" w14:textId="77777777" w:rsidR="00816BB1" w:rsidRPr="0061756A" w:rsidRDefault="00816BB1" w:rsidP="00816BB1">
      <w:pPr>
        <w:rPr>
          <w:sz w:val="24"/>
          <w:szCs w:val="24"/>
        </w:rPr>
      </w:pPr>
      <w:r w:rsidRPr="0061756A">
        <w:rPr>
          <w:sz w:val="24"/>
          <w:szCs w:val="24"/>
        </w:rPr>
        <w:t xml:space="preserve">Center for the Study of Social Policy. 2021. </w:t>
      </w:r>
      <w:r w:rsidRPr="0061756A">
        <w:rPr>
          <w:i/>
          <w:sz w:val="24"/>
          <w:szCs w:val="24"/>
        </w:rPr>
        <w:t>A Guide to Anti-Racist Data Collection for: System Leaders and Data Administrators</w:t>
      </w:r>
      <w:r w:rsidRPr="0061756A">
        <w:rPr>
          <w:sz w:val="24"/>
          <w:szCs w:val="24"/>
        </w:rPr>
        <w:t>. https://cssp.org/wp-content/uploads/2021/09/Our-Identities-Ourselves-Guide-for-System-Administrators-FINAL.pdf</w:t>
      </w:r>
    </w:p>
    <w:p w14:paraId="2D2C3C02" w14:textId="05D0FEA4" w:rsidR="00816BB1" w:rsidRPr="0061756A" w:rsidRDefault="00E345C4" w:rsidP="00816BB1">
      <w:pPr>
        <w:rPr>
          <w:sz w:val="24"/>
          <w:szCs w:val="24"/>
        </w:rPr>
      </w:pPr>
      <w:hyperlink r:id="rId10" w:history="1">
        <w:r w:rsidR="00816BB1" w:rsidRPr="0061756A">
          <w:rPr>
            <w:sz w:val="24"/>
            <w:szCs w:val="24"/>
          </w:rPr>
          <w:t>Del Campo</w:t>
        </w:r>
      </w:hyperlink>
      <w:r w:rsidR="00816BB1" w:rsidRPr="0061756A">
        <w:rPr>
          <w:sz w:val="24"/>
          <w:szCs w:val="24"/>
        </w:rPr>
        <w:t>, F., </w:t>
      </w:r>
      <w:proofErr w:type="spellStart"/>
      <w:r w:rsidR="00203624" w:rsidRPr="0061756A">
        <w:rPr>
          <w:sz w:val="24"/>
          <w:szCs w:val="24"/>
        </w:rPr>
        <w:fldChar w:fldCharType="begin"/>
      </w:r>
      <w:r w:rsidR="00203624" w:rsidRPr="0061756A">
        <w:rPr>
          <w:sz w:val="24"/>
          <w:szCs w:val="24"/>
        </w:rPr>
        <w:instrText xml:space="preserve"> HYPERLINK "https://www.ncbi.nlm.nih.gov/pubmed/?term=Casado%20J%5BAuthor%5D&amp;cauthor=true&amp;cauthor_uid=24056516" </w:instrText>
      </w:r>
      <w:r w:rsidR="00203624" w:rsidRPr="0061756A">
        <w:rPr>
          <w:sz w:val="24"/>
          <w:szCs w:val="24"/>
        </w:rPr>
        <w:fldChar w:fldCharType="separate"/>
      </w:r>
      <w:r w:rsidR="00816BB1" w:rsidRPr="0061756A">
        <w:rPr>
          <w:sz w:val="24"/>
          <w:szCs w:val="24"/>
        </w:rPr>
        <w:t>Casado</w:t>
      </w:r>
      <w:proofErr w:type="spellEnd"/>
      <w:r w:rsidR="00203624" w:rsidRPr="0061756A">
        <w:rPr>
          <w:sz w:val="24"/>
          <w:szCs w:val="24"/>
        </w:rPr>
        <w:fldChar w:fldCharType="end"/>
      </w:r>
      <w:r w:rsidR="00816BB1" w:rsidRPr="0061756A">
        <w:rPr>
          <w:sz w:val="24"/>
          <w:szCs w:val="24"/>
        </w:rPr>
        <w:t>, J., </w:t>
      </w:r>
      <w:hyperlink r:id="rId11" w:history="1">
        <w:r w:rsidR="00816BB1" w:rsidRPr="0061756A">
          <w:rPr>
            <w:sz w:val="24"/>
            <w:szCs w:val="24"/>
          </w:rPr>
          <w:t>Spencer</w:t>
        </w:r>
      </w:hyperlink>
      <w:r w:rsidR="00816BB1" w:rsidRPr="0061756A">
        <w:rPr>
          <w:sz w:val="24"/>
          <w:szCs w:val="24"/>
        </w:rPr>
        <w:t xml:space="preserve">, P., &amp; </w:t>
      </w:r>
      <w:hyperlink r:id="rId12" w:history="1">
        <w:r w:rsidR="00816BB1" w:rsidRPr="0061756A">
          <w:rPr>
            <w:sz w:val="24"/>
            <w:szCs w:val="24"/>
          </w:rPr>
          <w:t>Strelnick</w:t>
        </w:r>
      </w:hyperlink>
      <w:r w:rsidR="00816BB1" w:rsidRPr="0061756A">
        <w:rPr>
          <w:sz w:val="24"/>
          <w:szCs w:val="24"/>
        </w:rPr>
        <w:t xml:space="preserve">, H. 2013. </w:t>
      </w:r>
      <w:r w:rsidR="00816BB1" w:rsidRPr="0061756A">
        <w:rPr>
          <w:i/>
          <w:sz w:val="24"/>
          <w:szCs w:val="24"/>
        </w:rPr>
        <w:t>Progress in Community Health Partnerships. The Development of the Bronx Community Research Review Board: A Pilot Feasibility Project for a Model of Community Consultation</w:t>
      </w:r>
      <w:r w:rsidR="00816BB1" w:rsidRPr="0061756A">
        <w:rPr>
          <w:sz w:val="24"/>
          <w:szCs w:val="24"/>
        </w:rPr>
        <w:t>. 7 (3): 341-352.</w:t>
      </w:r>
    </w:p>
    <w:p w14:paraId="17B1762B" w14:textId="59887C1F" w:rsidR="00007BED" w:rsidRPr="0061756A" w:rsidRDefault="00007BED" w:rsidP="00B56DEC">
      <w:pPr>
        <w:autoSpaceDE w:val="0"/>
        <w:autoSpaceDN w:val="0"/>
        <w:adjustRightInd w:val="0"/>
        <w:spacing w:after="0" w:line="240" w:lineRule="auto"/>
        <w:rPr>
          <w:rFonts w:cstheme="minorHAnsi"/>
          <w:sz w:val="24"/>
          <w:szCs w:val="24"/>
        </w:rPr>
      </w:pPr>
      <w:r w:rsidRPr="0061756A">
        <w:rPr>
          <w:rFonts w:cstheme="minorHAnsi"/>
          <w:sz w:val="24"/>
          <w:szCs w:val="24"/>
        </w:rPr>
        <w:lastRenderedPageBreak/>
        <w:t>Dorf,</w:t>
      </w:r>
      <w:r w:rsidR="00A33490" w:rsidRPr="0061756A">
        <w:rPr>
          <w:rFonts w:cstheme="minorHAnsi"/>
          <w:sz w:val="24"/>
          <w:szCs w:val="24"/>
        </w:rPr>
        <w:t xml:space="preserve"> M. C., and </w:t>
      </w:r>
      <w:proofErr w:type="spellStart"/>
      <w:r w:rsidR="00A33490" w:rsidRPr="0061756A">
        <w:rPr>
          <w:rFonts w:cstheme="minorHAnsi"/>
          <w:sz w:val="24"/>
          <w:szCs w:val="24"/>
        </w:rPr>
        <w:t>Sabel</w:t>
      </w:r>
      <w:proofErr w:type="spellEnd"/>
      <w:r w:rsidR="00A33490" w:rsidRPr="0061756A">
        <w:rPr>
          <w:rFonts w:cstheme="minorHAnsi"/>
          <w:sz w:val="24"/>
          <w:szCs w:val="24"/>
        </w:rPr>
        <w:t>, C. F., 2000.</w:t>
      </w:r>
      <w:r w:rsidRPr="0061756A">
        <w:rPr>
          <w:rFonts w:cstheme="minorHAnsi"/>
          <w:sz w:val="24"/>
          <w:szCs w:val="24"/>
        </w:rPr>
        <w:t xml:space="preserve"> Drug Treatment Courts and Emergent</w:t>
      </w:r>
      <w:r w:rsidR="00B56DEC" w:rsidRPr="0061756A">
        <w:rPr>
          <w:rFonts w:cstheme="minorHAnsi"/>
          <w:sz w:val="24"/>
          <w:szCs w:val="24"/>
        </w:rPr>
        <w:t xml:space="preserve"> </w:t>
      </w:r>
      <w:r w:rsidRPr="0061756A">
        <w:rPr>
          <w:rFonts w:cstheme="minorHAnsi"/>
          <w:sz w:val="24"/>
          <w:szCs w:val="24"/>
        </w:rPr>
        <w:t xml:space="preserve">Experimentalist Government, </w:t>
      </w:r>
      <w:r w:rsidRPr="0061756A">
        <w:rPr>
          <w:rFonts w:cstheme="minorHAnsi"/>
          <w:i/>
          <w:sz w:val="24"/>
          <w:szCs w:val="24"/>
        </w:rPr>
        <w:t>Vanderbilt Law Review</w:t>
      </w:r>
      <w:r w:rsidRPr="0061756A">
        <w:rPr>
          <w:rFonts w:cstheme="minorHAnsi"/>
          <w:sz w:val="24"/>
          <w:szCs w:val="24"/>
        </w:rPr>
        <w:t xml:space="preserve">, </w:t>
      </w:r>
      <w:r w:rsidR="00816BB1" w:rsidRPr="0061756A">
        <w:rPr>
          <w:rFonts w:cstheme="minorHAnsi"/>
          <w:sz w:val="24"/>
          <w:szCs w:val="24"/>
        </w:rPr>
        <w:t>5</w:t>
      </w:r>
      <w:r w:rsidRPr="0061756A">
        <w:rPr>
          <w:rFonts w:cstheme="minorHAnsi"/>
          <w:sz w:val="24"/>
          <w:szCs w:val="24"/>
        </w:rPr>
        <w:t>3</w:t>
      </w:r>
      <w:r w:rsidR="00816BB1" w:rsidRPr="0061756A">
        <w:rPr>
          <w:rFonts w:cstheme="minorHAnsi"/>
          <w:sz w:val="24"/>
          <w:szCs w:val="24"/>
        </w:rPr>
        <w:t xml:space="preserve">: </w:t>
      </w:r>
      <w:r w:rsidRPr="0061756A">
        <w:rPr>
          <w:rFonts w:cstheme="minorHAnsi"/>
          <w:sz w:val="24"/>
          <w:szCs w:val="24"/>
        </w:rPr>
        <w:t>829</w:t>
      </w:r>
      <w:r w:rsidR="003C5BF6" w:rsidRPr="0061756A">
        <w:rPr>
          <w:rFonts w:cstheme="minorHAnsi"/>
          <w:sz w:val="24"/>
          <w:szCs w:val="24"/>
        </w:rPr>
        <w:t xml:space="preserve"> </w:t>
      </w:r>
      <w:r w:rsidRPr="0061756A">
        <w:rPr>
          <w:rFonts w:cstheme="minorHAnsi"/>
          <w:sz w:val="24"/>
          <w:szCs w:val="24"/>
        </w:rPr>
        <w:t xml:space="preserve">- 883. </w:t>
      </w:r>
    </w:p>
    <w:p w14:paraId="28949967" w14:textId="77777777" w:rsidR="00B56DEC" w:rsidRPr="0061756A" w:rsidRDefault="00B56DEC" w:rsidP="00B56DEC">
      <w:pPr>
        <w:autoSpaceDE w:val="0"/>
        <w:autoSpaceDN w:val="0"/>
        <w:adjustRightInd w:val="0"/>
        <w:spacing w:after="0" w:line="240" w:lineRule="auto"/>
        <w:rPr>
          <w:rFonts w:cstheme="minorHAnsi"/>
          <w:color w:val="2A2A2A"/>
          <w:sz w:val="24"/>
          <w:szCs w:val="24"/>
          <w:shd w:val="clear" w:color="auto" w:fill="FFFFFF"/>
        </w:rPr>
      </w:pPr>
    </w:p>
    <w:p w14:paraId="0E0F17A1" w14:textId="08D63083" w:rsidR="0049640B" w:rsidRPr="0061756A" w:rsidRDefault="00BE4139">
      <w:pPr>
        <w:rPr>
          <w:rFonts w:cstheme="minorHAnsi"/>
          <w:color w:val="2A2A2A"/>
          <w:sz w:val="24"/>
          <w:szCs w:val="24"/>
          <w:shd w:val="clear" w:color="auto" w:fill="FFFFFF"/>
        </w:rPr>
      </w:pPr>
      <w:proofErr w:type="spellStart"/>
      <w:r w:rsidRPr="0061756A">
        <w:rPr>
          <w:rFonts w:cstheme="minorHAnsi"/>
          <w:color w:val="000000"/>
          <w:sz w:val="24"/>
          <w:szCs w:val="24"/>
          <w:shd w:val="clear" w:color="auto" w:fill="FFFFFF"/>
        </w:rPr>
        <w:t>Elli</w:t>
      </w:r>
      <w:r w:rsidR="0049640B" w:rsidRPr="0061756A">
        <w:rPr>
          <w:rFonts w:cstheme="minorHAnsi"/>
          <w:color w:val="000000"/>
          <w:sz w:val="24"/>
          <w:szCs w:val="24"/>
          <w:shd w:val="clear" w:color="auto" w:fill="FFFFFF"/>
        </w:rPr>
        <w:t>nger</w:t>
      </w:r>
      <w:proofErr w:type="spellEnd"/>
      <w:r w:rsidR="0049640B" w:rsidRPr="0061756A">
        <w:rPr>
          <w:rFonts w:cstheme="minorHAnsi"/>
          <w:color w:val="000000"/>
          <w:sz w:val="24"/>
          <w:szCs w:val="24"/>
          <w:shd w:val="clear" w:color="auto" w:fill="FFFFFF"/>
        </w:rPr>
        <w:t xml:space="preserve">, A., </w:t>
      </w:r>
      <w:proofErr w:type="spellStart"/>
      <w:r w:rsidR="0049640B" w:rsidRPr="0061756A">
        <w:rPr>
          <w:rFonts w:cstheme="minorHAnsi"/>
          <w:color w:val="000000"/>
          <w:sz w:val="24"/>
          <w:szCs w:val="24"/>
          <w:shd w:val="clear" w:color="auto" w:fill="FFFFFF"/>
        </w:rPr>
        <w:t>Ellinger</w:t>
      </w:r>
      <w:proofErr w:type="spellEnd"/>
      <w:r w:rsidR="0049640B" w:rsidRPr="0061756A">
        <w:rPr>
          <w:rFonts w:cstheme="minorHAnsi"/>
          <w:color w:val="000000"/>
          <w:sz w:val="24"/>
          <w:szCs w:val="24"/>
          <w:shd w:val="clear" w:color="auto" w:fill="FFFFFF"/>
        </w:rPr>
        <w:t xml:space="preserve">, </w:t>
      </w:r>
      <w:r w:rsidRPr="0061756A">
        <w:rPr>
          <w:rFonts w:cstheme="minorHAnsi"/>
          <w:color w:val="000000"/>
          <w:sz w:val="24"/>
          <w:szCs w:val="24"/>
          <w:shd w:val="clear" w:color="auto" w:fill="FFFFFF"/>
        </w:rPr>
        <w:t>D</w:t>
      </w:r>
      <w:r w:rsidR="0049640B" w:rsidRPr="0061756A">
        <w:rPr>
          <w:rFonts w:cstheme="minorHAnsi"/>
          <w:color w:val="000000"/>
          <w:sz w:val="24"/>
          <w:szCs w:val="24"/>
          <w:shd w:val="clear" w:color="auto" w:fill="FFFFFF"/>
        </w:rPr>
        <w:t xml:space="preserve">., Yang, B., &amp; </w:t>
      </w:r>
      <w:proofErr w:type="spellStart"/>
      <w:r w:rsidR="0049640B" w:rsidRPr="0061756A">
        <w:rPr>
          <w:rFonts w:cstheme="minorHAnsi"/>
          <w:color w:val="000000"/>
          <w:sz w:val="24"/>
          <w:szCs w:val="24"/>
          <w:shd w:val="clear" w:color="auto" w:fill="FFFFFF"/>
        </w:rPr>
        <w:t>Howton</w:t>
      </w:r>
      <w:proofErr w:type="spellEnd"/>
      <w:r w:rsidR="0049640B" w:rsidRPr="0061756A">
        <w:rPr>
          <w:rFonts w:cstheme="minorHAnsi"/>
          <w:color w:val="000000"/>
          <w:sz w:val="24"/>
          <w:szCs w:val="24"/>
          <w:shd w:val="clear" w:color="auto" w:fill="FFFFFF"/>
        </w:rPr>
        <w:t xml:space="preserve">, S. </w:t>
      </w:r>
      <w:r w:rsidR="00A33490" w:rsidRPr="0061756A">
        <w:rPr>
          <w:rFonts w:cstheme="minorHAnsi"/>
          <w:color w:val="000000"/>
          <w:sz w:val="24"/>
          <w:szCs w:val="24"/>
          <w:shd w:val="clear" w:color="auto" w:fill="FFFFFF"/>
        </w:rPr>
        <w:t>2002</w:t>
      </w:r>
      <w:r w:rsidR="0049640B" w:rsidRPr="0061756A">
        <w:rPr>
          <w:rFonts w:cstheme="minorHAnsi"/>
          <w:color w:val="000000"/>
          <w:sz w:val="24"/>
          <w:szCs w:val="24"/>
          <w:shd w:val="clear" w:color="auto" w:fill="FFFFFF"/>
        </w:rPr>
        <w:t>. The relationship between the learning organization concept and firms' financial performance: An empirical assessment. </w:t>
      </w:r>
      <w:r w:rsidR="0049640B" w:rsidRPr="0061756A">
        <w:rPr>
          <w:rFonts w:cstheme="minorHAnsi"/>
          <w:i/>
          <w:iCs/>
          <w:color w:val="000000"/>
          <w:sz w:val="24"/>
          <w:szCs w:val="24"/>
          <w:shd w:val="clear" w:color="auto" w:fill="FFFFFF"/>
        </w:rPr>
        <w:t>Human Resource Development Quarterly,</w:t>
      </w:r>
      <w:r w:rsidR="0049640B" w:rsidRPr="0061756A">
        <w:rPr>
          <w:rFonts w:cstheme="minorHAnsi"/>
          <w:color w:val="000000"/>
          <w:sz w:val="24"/>
          <w:szCs w:val="24"/>
          <w:shd w:val="clear" w:color="auto" w:fill="FFFFFF"/>
        </w:rPr>
        <w:t> </w:t>
      </w:r>
      <w:r w:rsidR="0049640B" w:rsidRPr="0061756A">
        <w:rPr>
          <w:rFonts w:cstheme="minorHAnsi"/>
          <w:iCs/>
          <w:color w:val="000000"/>
          <w:sz w:val="24"/>
          <w:szCs w:val="24"/>
          <w:shd w:val="clear" w:color="auto" w:fill="FFFFFF"/>
        </w:rPr>
        <w:t>13</w:t>
      </w:r>
      <w:r w:rsidR="00383698" w:rsidRPr="0061756A">
        <w:rPr>
          <w:rFonts w:cstheme="minorHAnsi"/>
          <w:color w:val="000000"/>
          <w:sz w:val="24"/>
          <w:szCs w:val="24"/>
          <w:shd w:val="clear" w:color="auto" w:fill="FFFFFF"/>
        </w:rPr>
        <w:t xml:space="preserve"> </w:t>
      </w:r>
      <w:r w:rsidR="0049640B" w:rsidRPr="0061756A">
        <w:rPr>
          <w:rFonts w:cstheme="minorHAnsi"/>
          <w:color w:val="000000"/>
          <w:sz w:val="24"/>
          <w:szCs w:val="24"/>
          <w:shd w:val="clear" w:color="auto" w:fill="FFFFFF"/>
        </w:rPr>
        <w:t>(1), 5-22.</w:t>
      </w:r>
    </w:p>
    <w:p w14:paraId="740A4451" w14:textId="20D886D9" w:rsidR="00BD23E0" w:rsidRPr="0061756A" w:rsidRDefault="00BD23E0">
      <w:pPr>
        <w:rPr>
          <w:rFonts w:cstheme="minorHAnsi"/>
          <w:sz w:val="24"/>
          <w:szCs w:val="24"/>
        </w:rPr>
      </w:pPr>
      <w:proofErr w:type="spellStart"/>
      <w:r w:rsidRPr="0061756A">
        <w:rPr>
          <w:rFonts w:cstheme="minorHAnsi"/>
          <w:color w:val="2A2A2A"/>
          <w:sz w:val="24"/>
          <w:szCs w:val="24"/>
          <w:shd w:val="clear" w:color="auto" w:fill="FFFFFF"/>
        </w:rPr>
        <w:t>Jakobsen</w:t>
      </w:r>
      <w:proofErr w:type="spellEnd"/>
      <w:r w:rsidRPr="0061756A">
        <w:rPr>
          <w:rFonts w:cstheme="minorHAnsi"/>
          <w:color w:val="2A2A2A"/>
          <w:sz w:val="24"/>
          <w:szCs w:val="24"/>
          <w:shd w:val="clear" w:color="auto" w:fill="FFFFFF"/>
        </w:rPr>
        <w:t>, M. L.</w:t>
      </w:r>
      <w:r w:rsidR="00BE4139" w:rsidRPr="0061756A">
        <w:rPr>
          <w:rFonts w:cstheme="minorHAnsi"/>
          <w:color w:val="2A2A2A"/>
          <w:sz w:val="24"/>
          <w:szCs w:val="24"/>
          <w:shd w:val="clear" w:color="auto" w:fill="FFFFFF"/>
        </w:rPr>
        <w:t>,</w:t>
      </w:r>
      <w:r w:rsidRPr="0061756A">
        <w:rPr>
          <w:rFonts w:cstheme="minorHAnsi"/>
          <w:color w:val="2A2A2A"/>
          <w:sz w:val="24"/>
          <w:szCs w:val="24"/>
          <w:shd w:val="clear" w:color="auto" w:fill="FFFFFF"/>
        </w:rPr>
        <w:t xml:space="preserve"> </w:t>
      </w:r>
      <w:proofErr w:type="spellStart"/>
      <w:r w:rsidRPr="0061756A">
        <w:rPr>
          <w:rFonts w:cstheme="minorHAnsi"/>
          <w:color w:val="2A2A2A"/>
          <w:sz w:val="24"/>
          <w:szCs w:val="24"/>
          <w:shd w:val="clear" w:color="auto" w:fill="FFFFFF"/>
        </w:rPr>
        <w:t>Baekgaard</w:t>
      </w:r>
      <w:proofErr w:type="spellEnd"/>
      <w:r w:rsidRPr="0061756A">
        <w:rPr>
          <w:rFonts w:cstheme="minorHAnsi"/>
          <w:color w:val="2A2A2A"/>
          <w:sz w:val="24"/>
          <w:szCs w:val="24"/>
          <w:shd w:val="clear" w:color="auto" w:fill="FFFFFF"/>
        </w:rPr>
        <w:t>, M.</w:t>
      </w:r>
      <w:r w:rsidR="00BE4139" w:rsidRPr="0061756A">
        <w:rPr>
          <w:rFonts w:cstheme="minorHAnsi"/>
          <w:color w:val="2A2A2A"/>
          <w:sz w:val="24"/>
          <w:szCs w:val="24"/>
          <w:shd w:val="clear" w:color="auto" w:fill="FFFFFF"/>
        </w:rPr>
        <w:t>,</w:t>
      </w:r>
      <w:r w:rsidRPr="0061756A">
        <w:rPr>
          <w:rFonts w:cstheme="minorHAnsi"/>
          <w:color w:val="2A2A2A"/>
          <w:sz w:val="24"/>
          <w:szCs w:val="24"/>
          <w:shd w:val="clear" w:color="auto" w:fill="FFFFFF"/>
        </w:rPr>
        <w:t xml:space="preserve"> Moynihan, D. P.</w:t>
      </w:r>
      <w:r w:rsidR="00BE4139" w:rsidRPr="0061756A">
        <w:rPr>
          <w:rFonts w:cstheme="minorHAnsi"/>
          <w:color w:val="2A2A2A"/>
          <w:sz w:val="24"/>
          <w:szCs w:val="24"/>
          <w:shd w:val="clear" w:color="auto" w:fill="FFFFFF"/>
        </w:rPr>
        <w:t>,</w:t>
      </w:r>
      <w:r w:rsidRPr="0061756A">
        <w:rPr>
          <w:rFonts w:cstheme="minorHAnsi"/>
          <w:color w:val="2A2A2A"/>
          <w:sz w:val="24"/>
          <w:szCs w:val="24"/>
          <w:shd w:val="clear" w:color="auto" w:fill="FFFFFF"/>
        </w:rPr>
        <w:t xml:space="preserve"> van Loon, L. 2018. Making Sense of Performance Regimes: Rebalancing External Accountability and Internal Learning, </w:t>
      </w:r>
      <w:r w:rsidRPr="0061756A">
        <w:rPr>
          <w:rStyle w:val="Emphasis"/>
          <w:rFonts w:cstheme="minorHAnsi"/>
          <w:color w:val="2A2A2A"/>
          <w:sz w:val="24"/>
          <w:szCs w:val="24"/>
          <w:bdr w:val="none" w:sz="0" w:space="0" w:color="auto" w:frame="1"/>
          <w:shd w:val="clear" w:color="auto" w:fill="FFFFFF"/>
        </w:rPr>
        <w:t>Perspectives on Public Management and Governance</w:t>
      </w:r>
      <w:r w:rsidR="00816BB1" w:rsidRPr="0061756A">
        <w:rPr>
          <w:rFonts w:cstheme="minorHAnsi"/>
          <w:color w:val="2A2A2A"/>
          <w:sz w:val="24"/>
          <w:szCs w:val="24"/>
          <w:shd w:val="clear" w:color="auto" w:fill="FFFFFF"/>
        </w:rPr>
        <w:t xml:space="preserve">, </w:t>
      </w:r>
      <w:r w:rsidRPr="0061756A">
        <w:rPr>
          <w:rFonts w:cstheme="minorHAnsi"/>
          <w:color w:val="2A2A2A"/>
          <w:sz w:val="24"/>
          <w:szCs w:val="24"/>
          <w:shd w:val="clear" w:color="auto" w:fill="FFFFFF"/>
        </w:rPr>
        <w:t>1</w:t>
      </w:r>
      <w:r w:rsidR="00816BB1" w:rsidRPr="0061756A">
        <w:rPr>
          <w:rFonts w:cstheme="minorHAnsi"/>
          <w:color w:val="2A2A2A"/>
          <w:sz w:val="24"/>
          <w:szCs w:val="24"/>
          <w:shd w:val="clear" w:color="auto" w:fill="FFFFFF"/>
        </w:rPr>
        <w:t xml:space="preserve"> (</w:t>
      </w:r>
      <w:r w:rsidRPr="0061756A">
        <w:rPr>
          <w:rFonts w:cstheme="minorHAnsi"/>
          <w:color w:val="2A2A2A"/>
          <w:sz w:val="24"/>
          <w:szCs w:val="24"/>
          <w:shd w:val="clear" w:color="auto" w:fill="FFFFFF"/>
        </w:rPr>
        <w:t>2</w:t>
      </w:r>
      <w:r w:rsidR="00816BB1" w:rsidRPr="0061756A">
        <w:rPr>
          <w:rFonts w:cstheme="minorHAnsi"/>
          <w:color w:val="2A2A2A"/>
          <w:sz w:val="24"/>
          <w:szCs w:val="24"/>
          <w:shd w:val="clear" w:color="auto" w:fill="FFFFFF"/>
        </w:rPr>
        <w:t>)</w:t>
      </w:r>
      <w:r w:rsidRPr="0061756A">
        <w:rPr>
          <w:rFonts w:cstheme="minorHAnsi"/>
          <w:color w:val="2A2A2A"/>
          <w:sz w:val="24"/>
          <w:szCs w:val="24"/>
          <w:shd w:val="clear" w:color="auto" w:fill="FFFFFF"/>
        </w:rPr>
        <w:t>, 127–141, </w:t>
      </w:r>
      <w:hyperlink r:id="rId13" w:history="1">
        <w:r w:rsidR="007B2D2E" w:rsidRPr="0061756A">
          <w:rPr>
            <w:rStyle w:val="Hyperlink"/>
            <w:rFonts w:cstheme="minorHAnsi"/>
            <w:sz w:val="24"/>
            <w:szCs w:val="24"/>
            <w:bdr w:val="none" w:sz="0" w:space="0" w:color="auto" w:frame="1"/>
            <w:shd w:val="clear" w:color="auto" w:fill="FFFFFF"/>
          </w:rPr>
          <w:t>https://doi.org/10.1093/ppmgov/gvx001</w:t>
        </w:r>
      </w:hyperlink>
      <w:r w:rsidR="00522280" w:rsidRPr="0061756A">
        <w:rPr>
          <w:rFonts w:cstheme="minorHAnsi"/>
          <w:sz w:val="24"/>
          <w:szCs w:val="24"/>
        </w:rPr>
        <w:t>.</w:t>
      </w:r>
    </w:p>
    <w:p w14:paraId="48EBC68B" w14:textId="44811648" w:rsidR="007B2D2E" w:rsidRPr="0061756A" w:rsidRDefault="007B2D2E">
      <w:pPr>
        <w:rPr>
          <w:rFonts w:cstheme="minorHAnsi"/>
          <w:i/>
          <w:sz w:val="24"/>
          <w:szCs w:val="24"/>
        </w:rPr>
      </w:pPr>
      <w:proofErr w:type="spellStart"/>
      <w:r w:rsidRPr="0061756A">
        <w:rPr>
          <w:rFonts w:cstheme="minorHAnsi"/>
          <w:color w:val="000000"/>
          <w:sz w:val="24"/>
          <w:szCs w:val="24"/>
          <w:shd w:val="clear" w:color="auto" w:fill="FFFFFF"/>
        </w:rPr>
        <w:t>Jeong</w:t>
      </w:r>
      <w:proofErr w:type="spellEnd"/>
      <w:r w:rsidRPr="0061756A">
        <w:rPr>
          <w:rFonts w:cstheme="minorHAnsi"/>
          <w:color w:val="000000"/>
          <w:sz w:val="24"/>
          <w:szCs w:val="24"/>
          <w:shd w:val="clear" w:color="auto" w:fill="FFFFFF"/>
        </w:rPr>
        <w:t>, S., Lee, T., Ki</w:t>
      </w:r>
      <w:r w:rsidR="00A33490" w:rsidRPr="0061756A">
        <w:rPr>
          <w:rFonts w:cstheme="minorHAnsi"/>
          <w:color w:val="000000"/>
          <w:sz w:val="24"/>
          <w:szCs w:val="24"/>
          <w:shd w:val="clear" w:color="auto" w:fill="FFFFFF"/>
        </w:rPr>
        <w:t>m, I., Lee, M., &amp; Kim, M. 2007</w:t>
      </w:r>
      <w:r w:rsidRPr="0061756A">
        <w:rPr>
          <w:rFonts w:cstheme="minorHAnsi"/>
          <w:color w:val="000000"/>
          <w:sz w:val="24"/>
          <w:szCs w:val="24"/>
          <w:shd w:val="clear" w:color="auto" w:fill="FFFFFF"/>
        </w:rPr>
        <w:t>. The effect of nurses' use of the principles of learning organization on organizational effectiveness. </w:t>
      </w:r>
      <w:r w:rsidRPr="0061756A">
        <w:rPr>
          <w:rFonts w:cstheme="minorHAnsi"/>
          <w:i/>
          <w:iCs/>
          <w:color w:val="000000"/>
          <w:sz w:val="24"/>
          <w:szCs w:val="24"/>
          <w:shd w:val="clear" w:color="auto" w:fill="FFFFFF"/>
        </w:rPr>
        <w:t>Journal of Advanced Nursing,</w:t>
      </w:r>
      <w:r w:rsidRPr="0061756A">
        <w:rPr>
          <w:rFonts w:cstheme="minorHAnsi"/>
          <w:color w:val="000000"/>
          <w:sz w:val="24"/>
          <w:szCs w:val="24"/>
          <w:shd w:val="clear" w:color="auto" w:fill="FFFFFF"/>
        </w:rPr>
        <w:t> </w:t>
      </w:r>
      <w:r w:rsidRPr="0061756A">
        <w:rPr>
          <w:rFonts w:cstheme="minorHAnsi"/>
          <w:iCs/>
          <w:color w:val="000000"/>
          <w:sz w:val="24"/>
          <w:szCs w:val="24"/>
          <w:shd w:val="clear" w:color="auto" w:fill="FFFFFF"/>
        </w:rPr>
        <w:t>58</w:t>
      </w:r>
      <w:r w:rsidR="00816BB1" w:rsidRPr="0061756A">
        <w:rPr>
          <w:rFonts w:cstheme="minorHAnsi"/>
          <w:color w:val="000000"/>
          <w:sz w:val="24"/>
          <w:szCs w:val="24"/>
          <w:shd w:val="clear" w:color="auto" w:fill="FFFFFF"/>
        </w:rPr>
        <w:t xml:space="preserve"> </w:t>
      </w:r>
      <w:r w:rsidRPr="0061756A">
        <w:rPr>
          <w:rFonts w:cstheme="minorHAnsi"/>
          <w:color w:val="000000"/>
          <w:sz w:val="24"/>
          <w:szCs w:val="24"/>
          <w:shd w:val="clear" w:color="auto" w:fill="FFFFFF"/>
        </w:rPr>
        <w:t>(1)</w:t>
      </w:r>
      <w:r w:rsidR="00816BB1" w:rsidRPr="0061756A">
        <w:rPr>
          <w:rFonts w:cstheme="minorHAnsi"/>
          <w:color w:val="000000"/>
          <w:sz w:val="24"/>
          <w:szCs w:val="24"/>
          <w:shd w:val="clear" w:color="auto" w:fill="FFFFFF"/>
        </w:rPr>
        <w:t>:</w:t>
      </w:r>
      <w:r w:rsidRPr="0061756A">
        <w:rPr>
          <w:rFonts w:cstheme="minorHAnsi"/>
          <w:color w:val="000000"/>
          <w:sz w:val="24"/>
          <w:szCs w:val="24"/>
          <w:shd w:val="clear" w:color="auto" w:fill="FFFFFF"/>
        </w:rPr>
        <w:t xml:space="preserve"> 53-62.</w:t>
      </w:r>
    </w:p>
    <w:p w14:paraId="0967CD07" w14:textId="3E3CFDA3" w:rsidR="00816BB1" w:rsidRPr="0061756A" w:rsidRDefault="00816BB1" w:rsidP="00816BB1">
      <w:pPr>
        <w:rPr>
          <w:sz w:val="24"/>
          <w:szCs w:val="24"/>
        </w:rPr>
      </w:pPr>
      <w:r w:rsidRPr="0061756A">
        <w:rPr>
          <w:sz w:val="24"/>
          <w:szCs w:val="24"/>
        </w:rPr>
        <w:lastRenderedPageBreak/>
        <w:t xml:space="preserve">Ngo, K., Gilkison, G., &amp; Karuk Youth Leaders. 2020. Native American youth citizen scientists uncovering community health and food security priorities. </w:t>
      </w:r>
      <w:r w:rsidRPr="0061756A">
        <w:rPr>
          <w:i/>
          <w:sz w:val="24"/>
          <w:szCs w:val="24"/>
        </w:rPr>
        <w:t>Health Promotion Practices</w:t>
      </w:r>
      <w:r w:rsidRPr="0061756A">
        <w:rPr>
          <w:sz w:val="24"/>
          <w:szCs w:val="24"/>
        </w:rPr>
        <w:t xml:space="preserve">, 21 (1): 80–90. </w:t>
      </w:r>
    </w:p>
    <w:p w14:paraId="182CAAB9" w14:textId="77777777" w:rsidR="00B709F9" w:rsidRPr="0061756A" w:rsidRDefault="00B709F9">
      <w:pPr>
        <w:rPr>
          <w:sz w:val="24"/>
          <w:szCs w:val="24"/>
        </w:rPr>
      </w:pPr>
      <w:r w:rsidRPr="0061756A">
        <w:rPr>
          <w:sz w:val="24"/>
          <w:szCs w:val="24"/>
        </w:rPr>
        <w:t>O’Connor, S</w:t>
      </w:r>
      <w:r w:rsidR="00BD23E0" w:rsidRPr="0061756A">
        <w:rPr>
          <w:sz w:val="24"/>
          <w:szCs w:val="24"/>
        </w:rPr>
        <w:t>.</w:t>
      </w:r>
      <w:r w:rsidRPr="0061756A">
        <w:rPr>
          <w:sz w:val="24"/>
          <w:szCs w:val="24"/>
        </w:rPr>
        <w:t xml:space="preserve"> D</w:t>
      </w:r>
      <w:r w:rsidR="00BD23E0" w:rsidRPr="0061756A">
        <w:rPr>
          <w:sz w:val="24"/>
          <w:szCs w:val="24"/>
        </w:rPr>
        <w:t>.</w:t>
      </w:r>
      <w:r w:rsidRPr="0061756A">
        <w:rPr>
          <w:sz w:val="24"/>
          <w:szCs w:val="24"/>
        </w:rPr>
        <w:t xml:space="preserve"> 1990. Keynote address to the Second Annual Conference of the National Association of Court Managers, Phoenix.</w:t>
      </w:r>
      <w:r w:rsidR="00BD23E0" w:rsidRPr="0061756A">
        <w:rPr>
          <w:sz w:val="24"/>
          <w:szCs w:val="24"/>
        </w:rPr>
        <w:t xml:space="preserve"> </w:t>
      </w:r>
    </w:p>
    <w:p w14:paraId="2975C4A4" w14:textId="77777777" w:rsidR="00B56DEC" w:rsidRPr="0061756A" w:rsidRDefault="00D967F5" w:rsidP="00BD23E0">
      <w:pPr>
        <w:spacing w:after="0"/>
        <w:rPr>
          <w:sz w:val="24"/>
          <w:szCs w:val="24"/>
        </w:rPr>
      </w:pPr>
      <w:r w:rsidRPr="0061756A">
        <w:rPr>
          <w:sz w:val="24"/>
          <w:szCs w:val="24"/>
        </w:rPr>
        <w:t xml:space="preserve">Senge, P. M. 1990. </w:t>
      </w:r>
      <w:r w:rsidRPr="0061756A">
        <w:rPr>
          <w:i/>
          <w:sz w:val="24"/>
          <w:szCs w:val="24"/>
        </w:rPr>
        <w:t>The fifth discipline: The art and practice of the learning organization</w:t>
      </w:r>
      <w:r w:rsidRPr="0061756A">
        <w:rPr>
          <w:sz w:val="24"/>
          <w:szCs w:val="24"/>
        </w:rPr>
        <w:t>.</w:t>
      </w:r>
      <w:r w:rsidR="00BD23E0" w:rsidRPr="0061756A">
        <w:rPr>
          <w:sz w:val="24"/>
          <w:szCs w:val="24"/>
        </w:rPr>
        <w:t xml:space="preserve"> </w:t>
      </w:r>
      <w:r w:rsidRPr="0061756A">
        <w:rPr>
          <w:sz w:val="24"/>
          <w:szCs w:val="24"/>
        </w:rPr>
        <w:t>New York, NY: Doubleday.</w:t>
      </w:r>
    </w:p>
    <w:p w14:paraId="049E4816" w14:textId="26059F79" w:rsidR="00D967F5" w:rsidRPr="0061756A" w:rsidRDefault="00D967F5" w:rsidP="00BD23E0">
      <w:pPr>
        <w:spacing w:after="0"/>
        <w:rPr>
          <w:sz w:val="24"/>
          <w:szCs w:val="24"/>
        </w:rPr>
      </w:pPr>
      <w:r w:rsidRPr="0061756A">
        <w:rPr>
          <w:sz w:val="24"/>
          <w:szCs w:val="24"/>
        </w:rPr>
        <w:tab/>
      </w:r>
    </w:p>
    <w:p w14:paraId="054DA037" w14:textId="77777777" w:rsidR="00D967F5" w:rsidRPr="0061756A" w:rsidRDefault="00D967F5" w:rsidP="00D967F5">
      <w:pPr>
        <w:autoSpaceDE w:val="0"/>
        <w:autoSpaceDN w:val="0"/>
        <w:adjustRightInd w:val="0"/>
        <w:spacing w:after="0" w:line="240" w:lineRule="auto"/>
        <w:rPr>
          <w:sz w:val="24"/>
          <w:szCs w:val="24"/>
        </w:rPr>
      </w:pPr>
      <w:r w:rsidRPr="0061756A">
        <w:rPr>
          <w:sz w:val="24"/>
          <w:szCs w:val="24"/>
        </w:rPr>
        <w:t xml:space="preserve">Singer, S. J., Moore, S. C., </w:t>
      </w:r>
      <w:proofErr w:type="spellStart"/>
      <w:r w:rsidRPr="0061756A">
        <w:rPr>
          <w:sz w:val="24"/>
          <w:szCs w:val="24"/>
        </w:rPr>
        <w:t>Meterko</w:t>
      </w:r>
      <w:proofErr w:type="spellEnd"/>
      <w:r w:rsidRPr="0061756A">
        <w:rPr>
          <w:sz w:val="24"/>
          <w:szCs w:val="24"/>
        </w:rPr>
        <w:t>, M., and Williams, S. 2012. Development of a Short-Form Learning</w:t>
      </w:r>
    </w:p>
    <w:p w14:paraId="0E0811C2" w14:textId="55E719D2" w:rsidR="00D967F5" w:rsidRPr="0061756A" w:rsidRDefault="00D967F5" w:rsidP="00D967F5">
      <w:pPr>
        <w:autoSpaceDE w:val="0"/>
        <w:autoSpaceDN w:val="0"/>
        <w:adjustRightInd w:val="0"/>
        <w:spacing w:after="0" w:line="240" w:lineRule="auto"/>
        <w:rPr>
          <w:sz w:val="24"/>
          <w:szCs w:val="24"/>
        </w:rPr>
      </w:pPr>
      <w:r w:rsidRPr="0061756A">
        <w:rPr>
          <w:sz w:val="24"/>
          <w:szCs w:val="24"/>
        </w:rPr>
        <w:t xml:space="preserve">Organization Survey: The LOS-27. </w:t>
      </w:r>
      <w:r w:rsidRPr="0061756A">
        <w:rPr>
          <w:i/>
          <w:sz w:val="24"/>
          <w:szCs w:val="24"/>
        </w:rPr>
        <w:t>Medical Care and Research Review</w:t>
      </w:r>
      <w:r w:rsidRPr="0061756A">
        <w:rPr>
          <w:sz w:val="24"/>
          <w:szCs w:val="24"/>
        </w:rPr>
        <w:t>, 69</w:t>
      </w:r>
      <w:r w:rsidR="00816BB1" w:rsidRPr="0061756A">
        <w:rPr>
          <w:sz w:val="24"/>
          <w:szCs w:val="24"/>
        </w:rPr>
        <w:t xml:space="preserve"> (</w:t>
      </w:r>
      <w:r w:rsidRPr="0061756A">
        <w:rPr>
          <w:sz w:val="24"/>
          <w:szCs w:val="24"/>
        </w:rPr>
        <w:t>4</w:t>
      </w:r>
      <w:r w:rsidR="00816BB1" w:rsidRPr="0061756A">
        <w:rPr>
          <w:sz w:val="24"/>
          <w:szCs w:val="24"/>
        </w:rPr>
        <w:t xml:space="preserve">): </w:t>
      </w:r>
      <w:r w:rsidRPr="0061756A">
        <w:rPr>
          <w:sz w:val="24"/>
          <w:szCs w:val="24"/>
        </w:rPr>
        <w:t>432</w:t>
      </w:r>
      <w:r w:rsidR="00816BB1" w:rsidRPr="0061756A">
        <w:rPr>
          <w:sz w:val="24"/>
          <w:szCs w:val="24"/>
        </w:rPr>
        <w:t>—</w:t>
      </w:r>
      <w:r w:rsidRPr="0061756A">
        <w:rPr>
          <w:sz w:val="24"/>
          <w:szCs w:val="24"/>
        </w:rPr>
        <w:t xml:space="preserve">459. </w:t>
      </w:r>
    </w:p>
    <w:p w14:paraId="669E06A8" w14:textId="77777777" w:rsidR="00220E3D" w:rsidRPr="0061756A" w:rsidRDefault="00220E3D" w:rsidP="00D967F5">
      <w:pPr>
        <w:autoSpaceDE w:val="0"/>
        <w:autoSpaceDN w:val="0"/>
        <w:adjustRightInd w:val="0"/>
        <w:spacing w:after="0" w:line="240" w:lineRule="auto"/>
        <w:rPr>
          <w:sz w:val="24"/>
          <w:szCs w:val="24"/>
        </w:rPr>
      </w:pPr>
    </w:p>
    <w:p w14:paraId="57724A4C" w14:textId="77777777" w:rsidR="00220E3D" w:rsidRPr="0061756A" w:rsidRDefault="00220E3D" w:rsidP="00D967F5">
      <w:pPr>
        <w:autoSpaceDE w:val="0"/>
        <w:autoSpaceDN w:val="0"/>
        <w:adjustRightInd w:val="0"/>
        <w:spacing w:after="0" w:line="240" w:lineRule="auto"/>
        <w:rPr>
          <w:rFonts w:cstheme="minorHAnsi"/>
          <w:sz w:val="24"/>
          <w:szCs w:val="24"/>
        </w:rPr>
      </w:pPr>
      <w:r w:rsidRPr="0061756A">
        <w:rPr>
          <w:rFonts w:cstheme="minorHAnsi"/>
          <w:color w:val="333333"/>
          <w:sz w:val="24"/>
          <w:szCs w:val="24"/>
          <w:shd w:val="clear" w:color="auto" w:fill="FFFFFF"/>
        </w:rPr>
        <w:t xml:space="preserve">Song J. H., Kolb J. A. Learning Organizational Culture and Firm Performance: The Mediating Effects of Knowledge </w:t>
      </w:r>
      <w:r w:rsidRPr="0061756A">
        <w:rPr>
          <w:rFonts w:cstheme="minorHAnsi"/>
          <w:color w:val="333333"/>
          <w:sz w:val="24"/>
          <w:szCs w:val="24"/>
          <w:shd w:val="clear" w:color="auto" w:fill="FFFFFF"/>
        </w:rPr>
        <w:lastRenderedPageBreak/>
        <w:t>Creation in Korean Firms. 2013. </w:t>
      </w:r>
      <w:r w:rsidRPr="0061756A">
        <w:rPr>
          <w:rFonts w:cstheme="minorHAnsi"/>
          <w:i/>
          <w:iCs/>
          <w:color w:val="333333"/>
          <w:sz w:val="24"/>
          <w:szCs w:val="24"/>
          <w:shd w:val="clear" w:color="auto" w:fill="FFFFFF"/>
        </w:rPr>
        <w:t>Journal of Leadership &amp; Organizational Studies</w:t>
      </w:r>
      <w:r w:rsidRPr="0061756A">
        <w:rPr>
          <w:rFonts w:cstheme="minorHAnsi"/>
          <w:color w:val="333333"/>
          <w:sz w:val="24"/>
          <w:szCs w:val="24"/>
          <w:shd w:val="clear" w:color="auto" w:fill="FFFFFF"/>
        </w:rPr>
        <w:t>.</w:t>
      </w:r>
      <w:r w:rsidR="00F6267C" w:rsidRPr="0061756A">
        <w:rPr>
          <w:rFonts w:cstheme="minorHAnsi"/>
          <w:color w:val="333333"/>
          <w:sz w:val="24"/>
          <w:szCs w:val="24"/>
          <w:shd w:val="clear" w:color="auto" w:fill="FFFFFF"/>
        </w:rPr>
        <w:t xml:space="preserve"> </w:t>
      </w:r>
      <w:r w:rsidRPr="0061756A">
        <w:rPr>
          <w:rFonts w:cstheme="minorHAnsi"/>
          <w:color w:val="333333"/>
          <w:sz w:val="24"/>
          <w:szCs w:val="24"/>
          <w:shd w:val="clear" w:color="auto" w:fill="FFFFFF"/>
        </w:rPr>
        <w:t xml:space="preserve">20 (2):252-264. </w:t>
      </w:r>
      <w:proofErr w:type="gramStart"/>
      <w:r w:rsidRPr="0061756A">
        <w:rPr>
          <w:rFonts w:cstheme="minorHAnsi"/>
          <w:color w:val="333333"/>
          <w:sz w:val="24"/>
          <w:szCs w:val="24"/>
          <w:shd w:val="clear" w:color="auto" w:fill="FFFFFF"/>
        </w:rPr>
        <w:t>doi:</w:t>
      </w:r>
      <w:proofErr w:type="gramEnd"/>
      <w:r w:rsidRPr="0061756A">
        <w:rPr>
          <w:rFonts w:cstheme="minorHAnsi"/>
          <w:sz w:val="24"/>
          <w:szCs w:val="24"/>
          <w:shd w:val="clear" w:color="auto" w:fill="FFFFFF"/>
        </w:rPr>
        <w:t>10.1177/1548051812461146.</w:t>
      </w:r>
    </w:p>
    <w:p w14:paraId="56993BB2" w14:textId="77777777" w:rsidR="005B33EB" w:rsidRPr="0061756A" w:rsidRDefault="005B33EB" w:rsidP="00D967F5">
      <w:pPr>
        <w:autoSpaceDE w:val="0"/>
        <w:autoSpaceDN w:val="0"/>
        <w:adjustRightInd w:val="0"/>
        <w:spacing w:after="0" w:line="240" w:lineRule="auto"/>
        <w:rPr>
          <w:sz w:val="24"/>
          <w:szCs w:val="24"/>
        </w:rPr>
      </w:pPr>
    </w:p>
    <w:p w14:paraId="55C988A9" w14:textId="56A5A92F" w:rsidR="00B56DEC" w:rsidRPr="0061756A" w:rsidRDefault="00B56DEC" w:rsidP="00B56DEC">
      <w:pPr>
        <w:rPr>
          <w:sz w:val="24"/>
          <w:szCs w:val="24"/>
        </w:rPr>
      </w:pPr>
      <w:proofErr w:type="spellStart"/>
      <w:r w:rsidRPr="0061756A">
        <w:rPr>
          <w:sz w:val="24"/>
          <w:szCs w:val="24"/>
        </w:rPr>
        <w:t>Turiel</w:t>
      </w:r>
      <w:proofErr w:type="spellEnd"/>
      <w:r w:rsidRPr="0061756A">
        <w:rPr>
          <w:sz w:val="24"/>
          <w:szCs w:val="24"/>
        </w:rPr>
        <w:t>, E.,</w:t>
      </w:r>
      <w:r w:rsidR="00A33490" w:rsidRPr="0061756A">
        <w:rPr>
          <w:sz w:val="24"/>
          <w:szCs w:val="24"/>
        </w:rPr>
        <w:t xml:space="preserve"> Chung, E., &amp; Carr, J. A. 2016</w:t>
      </w:r>
      <w:r w:rsidRPr="0061756A">
        <w:rPr>
          <w:sz w:val="24"/>
          <w:szCs w:val="24"/>
        </w:rPr>
        <w:t>. Struggles for equal rights and social justice as unrepresented and represented in psychological research. Advances in Child Development and Behavior, 50: 1–29.</w:t>
      </w:r>
    </w:p>
    <w:p w14:paraId="4F93FFB1" w14:textId="510B36FA" w:rsidR="005B33EB" w:rsidRPr="0061756A" w:rsidRDefault="005B33EB" w:rsidP="00383698">
      <w:pPr>
        <w:autoSpaceDE w:val="0"/>
        <w:autoSpaceDN w:val="0"/>
        <w:adjustRightInd w:val="0"/>
        <w:spacing w:after="0" w:line="240" w:lineRule="auto"/>
        <w:rPr>
          <w:sz w:val="24"/>
          <w:szCs w:val="24"/>
        </w:rPr>
      </w:pPr>
      <w:r w:rsidRPr="0061756A">
        <w:rPr>
          <w:sz w:val="24"/>
          <w:szCs w:val="24"/>
        </w:rPr>
        <w:t xml:space="preserve">Vanderbilt, A. T. 1938. Our Main Order of Business: The Administration of Justice. </w:t>
      </w:r>
      <w:r w:rsidRPr="0061756A">
        <w:rPr>
          <w:i/>
          <w:sz w:val="24"/>
          <w:szCs w:val="24"/>
        </w:rPr>
        <w:t>American Bar Association Journal</w:t>
      </w:r>
      <w:r w:rsidRPr="0061756A">
        <w:rPr>
          <w:sz w:val="24"/>
          <w:szCs w:val="24"/>
        </w:rPr>
        <w:t>, 24</w:t>
      </w:r>
      <w:r w:rsidR="00816BB1" w:rsidRPr="0061756A">
        <w:rPr>
          <w:sz w:val="24"/>
          <w:szCs w:val="24"/>
        </w:rPr>
        <w:t xml:space="preserve"> (</w:t>
      </w:r>
      <w:r w:rsidR="00BD23E0" w:rsidRPr="0061756A">
        <w:rPr>
          <w:sz w:val="24"/>
          <w:szCs w:val="24"/>
        </w:rPr>
        <w:t>3</w:t>
      </w:r>
      <w:r w:rsidR="00816BB1" w:rsidRPr="0061756A">
        <w:rPr>
          <w:sz w:val="24"/>
          <w:szCs w:val="24"/>
        </w:rPr>
        <w:t xml:space="preserve">): </w:t>
      </w:r>
      <w:r w:rsidRPr="0061756A">
        <w:rPr>
          <w:sz w:val="24"/>
          <w:szCs w:val="24"/>
        </w:rPr>
        <w:t>187 – 190.</w:t>
      </w:r>
    </w:p>
    <w:sectPr w:rsidR="005B33EB" w:rsidRPr="0061756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A739" w14:textId="77777777" w:rsidR="007C7AE1" w:rsidRDefault="007C7AE1" w:rsidP="008F5526">
      <w:pPr>
        <w:spacing w:after="0" w:line="240" w:lineRule="auto"/>
      </w:pPr>
      <w:r>
        <w:separator/>
      </w:r>
    </w:p>
  </w:endnote>
  <w:endnote w:type="continuationSeparator" w:id="0">
    <w:p w14:paraId="4703FD7A" w14:textId="77777777" w:rsidR="007C7AE1" w:rsidRDefault="007C7AE1" w:rsidP="008F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83900"/>
      <w:docPartObj>
        <w:docPartGallery w:val="Page Numbers (Bottom of Page)"/>
        <w:docPartUnique/>
      </w:docPartObj>
    </w:sdtPr>
    <w:sdtEndPr>
      <w:rPr>
        <w:noProof/>
      </w:rPr>
    </w:sdtEndPr>
    <w:sdtContent>
      <w:p w14:paraId="4381EAF1" w14:textId="77777777" w:rsidR="008F5526" w:rsidRDefault="008F5526">
        <w:pPr>
          <w:pStyle w:val="Footer"/>
          <w:jc w:val="center"/>
        </w:pPr>
        <w:r>
          <w:fldChar w:fldCharType="begin"/>
        </w:r>
        <w:r>
          <w:instrText xml:space="preserve"> PAGE   \* MERGEFORMAT </w:instrText>
        </w:r>
        <w:r>
          <w:fldChar w:fldCharType="separate"/>
        </w:r>
        <w:r w:rsidR="00E345C4">
          <w:rPr>
            <w:noProof/>
          </w:rPr>
          <w:t>9</w:t>
        </w:r>
        <w:r>
          <w:rPr>
            <w:noProof/>
          </w:rPr>
          <w:fldChar w:fldCharType="end"/>
        </w:r>
      </w:p>
    </w:sdtContent>
  </w:sdt>
  <w:p w14:paraId="6A1EFAA9" w14:textId="77777777" w:rsidR="008F5526" w:rsidRDefault="008F5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5B41" w14:textId="77777777" w:rsidR="007C7AE1" w:rsidRDefault="007C7AE1" w:rsidP="008F5526">
      <w:pPr>
        <w:spacing w:after="0" w:line="240" w:lineRule="auto"/>
      </w:pPr>
      <w:r>
        <w:separator/>
      </w:r>
    </w:p>
  </w:footnote>
  <w:footnote w:type="continuationSeparator" w:id="0">
    <w:p w14:paraId="02477A93" w14:textId="77777777" w:rsidR="007C7AE1" w:rsidRDefault="007C7AE1" w:rsidP="008F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908B" w14:textId="77777777" w:rsidR="0061756A" w:rsidRDefault="0061756A">
    <w:pPr>
      <w:pStyle w:val="Header"/>
    </w:pPr>
    <w:r>
      <w:t xml:space="preserve">Data for Justice </w:t>
    </w:r>
  </w:p>
  <w:p w14:paraId="51462D79" w14:textId="3C2CF2DF" w:rsidR="00862721" w:rsidRDefault="0061756A">
    <w:pPr>
      <w:pStyle w:val="Header"/>
    </w:pPr>
    <w:r>
      <w:t xml:space="preserve">Proposal to the </w:t>
    </w:r>
    <w:r w:rsidR="00862721">
      <w:t>WSCCR Strategic Oversight Committee</w:t>
    </w:r>
    <w:r>
      <w:t xml:space="preserve"> Meeting, 12/10/2021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AF1"/>
    <w:multiLevelType w:val="hybridMultilevel"/>
    <w:tmpl w:val="3CC83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20B91"/>
    <w:multiLevelType w:val="hybridMultilevel"/>
    <w:tmpl w:val="FBFEC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35F9B"/>
    <w:multiLevelType w:val="hybridMultilevel"/>
    <w:tmpl w:val="05C49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C13963"/>
    <w:multiLevelType w:val="hybridMultilevel"/>
    <w:tmpl w:val="6CA6A8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03D"/>
    <w:multiLevelType w:val="hybridMultilevel"/>
    <w:tmpl w:val="ADCC12C2"/>
    <w:lvl w:ilvl="0" w:tplc="04090011">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32164"/>
    <w:multiLevelType w:val="hybridMultilevel"/>
    <w:tmpl w:val="6588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174E1"/>
    <w:multiLevelType w:val="hybridMultilevel"/>
    <w:tmpl w:val="9B20C98C"/>
    <w:lvl w:ilvl="0" w:tplc="144AC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713CC4"/>
    <w:multiLevelType w:val="hybridMultilevel"/>
    <w:tmpl w:val="DE68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39"/>
    <w:rsid w:val="00007BED"/>
    <w:rsid w:val="000151DD"/>
    <w:rsid w:val="000505C0"/>
    <w:rsid w:val="00067C19"/>
    <w:rsid w:val="000835C2"/>
    <w:rsid w:val="0009364B"/>
    <w:rsid w:val="000B77F9"/>
    <w:rsid w:val="000F1669"/>
    <w:rsid w:val="000F796C"/>
    <w:rsid w:val="00155F0C"/>
    <w:rsid w:val="00164F03"/>
    <w:rsid w:val="00194B25"/>
    <w:rsid w:val="001A671C"/>
    <w:rsid w:val="001C68A5"/>
    <w:rsid w:val="001D25BC"/>
    <w:rsid w:val="001D3888"/>
    <w:rsid w:val="001D4902"/>
    <w:rsid w:val="001D7C47"/>
    <w:rsid w:val="00203624"/>
    <w:rsid w:val="002104EF"/>
    <w:rsid w:val="00220E3D"/>
    <w:rsid w:val="00235B2F"/>
    <w:rsid w:val="0024331A"/>
    <w:rsid w:val="00264A1A"/>
    <w:rsid w:val="00265A36"/>
    <w:rsid w:val="00275824"/>
    <w:rsid w:val="00292A53"/>
    <w:rsid w:val="002B05E6"/>
    <w:rsid w:val="00301639"/>
    <w:rsid w:val="00305449"/>
    <w:rsid w:val="0033141E"/>
    <w:rsid w:val="0034137D"/>
    <w:rsid w:val="0037686D"/>
    <w:rsid w:val="00383698"/>
    <w:rsid w:val="003C5BF6"/>
    <w:rsid w:val="003D1CAA"/>
    <w:rsid w:val="003D61EA"/>
    <w:rsid w:val="003E2F8B"/>
    <w:rsid w:val="003F6B1B"/>
    <w:rsid w:val="0040629A"/>
    <w:rsid w:val="004255A8"/>
    <w:rsid w:val="004815F1"/>
    <w:rsid w:val="0049640B"/>
    <w:rsid w:val="004C0A3D"/>
    <w:rsid w:val="004C40B6"/>
    <w:rsid w:val="004F2E82"/>
    <w:rsid w:val="00522280"/>
    <w:rsid w:val="00532050"/>
    <w:rsid w:val="00537256"/>
    <w:rsid w:val="00593238"/>
    <w:rsid w:val="005A4A9A"/>
    <w:rsid w:val="005A77D5"/>
    <w:rsid w:val="005B33EB"/>
    <w:rsid w:val="005C4790"/>
    <w:rsid w:val="00604AF4"/>
    <w:rsid w:val="0061756A"/>
    <w:rsid w:val="00632E6B"/>
    <w:rsid w:val="00651838"/>
    <w:rsid w:val="006540D4"/>
    <w:rsid w:val="00676835"/>
    <w:rsid w:val="006A5D16"/>
    <w:rsid w:val="006B33B2"/>
    <w:rsid w:val="006B5097"/>
    <w:rsid w:val="006D0432"/>
    <w:rsid w:val="00704711"/>
    <w:rsid w:val="00714989"/>
    <w:rsid w:val="00715BFB"/>
    <w:rsid w:val="00732A67"/>
    <w:rsid w:val="00741302"/>
    <w:rsid w:val="00771B4D"/>
    <w:rsid w:val="007765B1"/>
    <w:rsid w:val="00776E13"/>
    <w:rsid w:val="0078263F"/>
    <w:rsid w:val="007B2D2E"/>
    <w:rsid w:val="007B7DCA"/>
    <w:rsid w:val="007C7AE1"/>
    <w:rsid w:val="007D2B8C"/>
    <w:rsid w:val="007D35D5"/>
    <w:rsid w:val="00816BB1"/>
    <w:rsid w:val="008622CE"/>
    <w:rsid w:val="00862721"/>
    <w:rsid w:val="00886B71"/>
    <w:rsid w:val="008A565E"/>
    <w:rsid w:val="008C44A6"/>
    <w:rsid w:val="008C55F5"/>
    <w:rsid w:val="008D19B8"/>
    <w:rsid w:val="008D66AC"/>
    <w:rsid w:val="008F0BD8"/>
    <w:rsid w:val="008F5526"/>
    <w:rsid w:val="00900AAB"/>
    <w:rsid w:val="00911FC9"/>
    <w:rsid w:val="00912E6F"/>
    <w:rsid w:val="00935D27"/>
    <w:rsid w:val="0096233E"/>
    <w:rsid w:val="00974E33"/>
    <w:rsid w:val="00995F1A"/>
    <w:rsid w:val="009C46D1"/>
    <w:rsid w:val="009D2DDA"/>
    <w:rsid w:val="009E2A0A"/>
    <w:rsid w:val="009E3F9B"/>
    <w:rsid w:val="00A11CA3"/>
    <w:rsid w:val="00A128E1"/>
    <w:rsid w:val="00A214F3"/>
    <w:rsid w:val="00A222B1"/>
    <w:rsid w:val="00A226C8"/>
    <w:rsid w:val="00A33490"/>
    <w:rsid w:val="00A44A58"/>
    <w:rsid w:val="00A46E7C"/>
    <w:rsid w:val="00AA008C"/>
    <w:rsid w:val="00AF4B1D"/>
    <w:rsid w:val="00AF4EFE"/>
    <w:rsid w:val="00B16B9C"/>
    <w:rsid w:val="00B3280D"/>
    <w:rsid w:val="00B33E75"/>
    <w:rsid w:val="00B45670"/>
    <w:rsid w:val="00B531DB"/>
    <w:rsid w:val="00B56DEC"/>
    <w:rsid w:val="00B709F9"/>
    <w:rsid w:val="00B72758"/>
    <w:rsid w:val="00BB1BC5"/>
    <w:rsid w:val="00BC185D"/>
    <w:rsid w:val="00BC7F0A"/>
    <w:rsid w:val="00BD23E0"/>
    <w:rsid w:val="00BE329A"/>
    <w:rsid w:val="00BE4139"/>
    <w:rsid w:val="00BF7598"/>
    <w:rsid w:val="00C46369"/>
    <w:rsid w:val="00C60D31"/>
    <w:rsid w:val="00C64532"/>
    <w:rsid w:val="00C76410"/>
    <w:rsid w:val="00CF2623"/>
    <w:rsid w:val="00D06BD6"/>
    <w:rsid w:val="00D11093"/>
    <w:rsid w:val="00D11A37"/>
    <w:rsid w:val="00D209E1"/>
    <w:rsid w:val="00D31B21"/>
    <w:rsid w:val="00D336CC"/>
    <w:rsid w:val="00D53ABE"/>
    <w:rsid w:val="00D65212"/>
    <w:rsid w:val="00D859E8"/>
    <w:rsid w:val="00D967F5"/>
    <w:rsid w:val="00DF6F4F"/>
    <w:rsid w:val="00E03022"/>
    <w:rsid w:val="00E21547"/>
    <w:rsid w:val="00E255ED"/>
    <w:rsid w:val="00E345C4"/>
    <w:rsid w:val="00E73A72"/>
    <w:rsid w:val="00E751DE"/>
    <w:rsid w:val="00E80361"/>
    <w:rsid w:val="00EA7D8D"/>
    <w:rsid w:val="00EB10D2"/>
    <w:rsid w:val="00ED459F"/>
    <w:rsid w:val="00ED53A9"/>
    <w:rsid w:val="00ED723B"/>
    <w:rsid w:val="00EF5F1E"/>
    <w:rsid w:val="00F10069"/>
    <w:rsid w:val="00F220C9"/>
    <w:rsid w:val="00F24521"/>
    <w:rsid w:val="00F27178"/>
    <w:rsid w:val="00F5084E"/>
    <w:rsid w:val="00F6267C"/>
    <w:rsid w:val="00FB5606"/>
    <w:rsid w:val="00FD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729C"/>
  <w15:chartTrackingRefBased/>
  <w15:docId w15:val="{8BD55BB2-E2F3-41CF-8602-9BF1EFF4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1E"/>
    <w:rPr>
      <w:color w:val="0563C1" w:themeColor="hyperlink"/>
      <w:u w:val="single"/>
    </w:rPr>
  </w:style>
  <w:style w:type="paragraph" w:styleId="Header">
    <w:name w:val="header"/>
    <w:basedOn w:val="Normal"/>
    <w:link w:val="HeaderChar"/>
    <w:uiPriority w:val="99"/>
    <w:unhideWhenUsed/>
    <w:rsid w:val="008F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26"/>
  </w:style>
  <w:style w:type="paragraph" w:styleId="Footer">
    <w:name w:val="footer"/>
    <w:basedOn w:val="Normal"/>
    <w:link w:val="FooterChar"/>
    <w:uiPriority w:val="99"/>
    <w:unhideWhenUsed/>
    <w:rsid w:val="008F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26"/>
  </w:style>
  <w:style w:type="paragraph" w:styleId="ListParagraph">
    <w:name w:val="List Paragraph"/>
    <w:basedOn w:val="Normal"/>
    <w:uiPriority w:val="34"/>
    <w:qFormat/>
    <w:rsid w:val="0024331A"/>
    <w:pPr>
      <w:ind w:left="720"/>
      <w:contextualSpacing/>
    </w:pPr>
  </w:style>
  <w:style w:type="paragraph" w:customStyle="1" w:styleId="Default">
    <w:name w:val="Default"/>
    <w:rsid w:val="005B33EB"/>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BD23E0"/>
    <w:rPr>
      <w:i/>
      <w:iCs/>
    </w:rPr>
  </w:style>
  <w:style w:type="character" w:styleId="FollowedHyperlink">
    <w:name w:val="FollowedHyperlink"/>
    <w:basedOn w:val="DefaultParagraphFont"/>
    <w:uiPriority w:val="99"/>
    <w:semiHidden/>
    <w:unhideWhenUsed/>
    <w:rsid w:val="00383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xonline.co.pierce.wa.us/linxweb/Main.cfm" TargetMode="External"/><Relationship Id="rId13" Type="http://schemas.openxmlformats.org/officeDocument/2006/relationships/hyperlink" Target="https://doi.org/10.1093/ppmgov/gvx001" TargetMode="External"/><Relationship Id="rId3" Type="http://schemas.openxmlformats.org/officeDocument/2006/relationships/settings" Target="settings.xml"/><Relationship Id="rId7" Type="http://schemas.openxmlformats.org/officeDocument/2006/relationships/hyperlink" Target="https://nacmcore.org/competency/accountability-and-court-performance/" TargetMode="External"/><Relationship Id="rId12" Type="http://schemas.openxmlformats.org/officeDocument/2006/relationships/hyperlink" Target="https://www.ncbi.nlm.nih.gov/pubmed/?term=Strelnick%20H%5BAuthor%5D&amp;cauthor=true&amp;cauthor_uid=240565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Spencer%20P%5BAuthor%5D&amp;cauthor=true&amp;cauthor_uid=240565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term=Martin%20del%20Campo%20F%5BAuthor%5D&amp;cauthor=true&amp;cauthor_uid=24056516" TargetMode="External"/><Relationship Id="rId4" Type="http://schemas.openxmlformats.org/officeDocument/2006/relationships/webSettings" Target="webSettings.xml"/><Relationship Id="rId9" Type="http://schemas.openxmlformats.org/officeDocument/2006/relationships/hyperlink" Target="https://doi.org/10.1093/ppmgov/gvz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17314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Carl</dc:creator>
  <cp:keywords/>
  <dc:description/>
  <cp:lastModifiedBy>Ballou, Stephanie</cp:lastModifiedBy>
  <cp:revision>2</cp:revision>
  <dcterms:created xsi:type="dcterms:W3CDTF">2021-12-13T22:32:00Z</dcterms:created>
  <dcterms:modified xsi:type="dcterms:W3CDTF">2021-12-13T22:32:00Z</dcterms:modified>
</cp:coreProperties>
</file>